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D78F" w14:textId="43A65660" w:rsidR="00CC002C" w:rsidRPr="004B7A0E" w:rsidRDefault="00CC002C" w:rsidP="00976B88">
      <w:pPr>
        <w:rPr>
          <w:rFonts w:asciiTheme="minorHAnsi" w:hAnsiTheme="minorHAnsi" w:cstheme="minorHAnsi"/>
        </w:rPr>
      </w:pPr>
    </w:p>
    <w:p w14:paraId="4AB77DB0" w14:textId="77777777" w:rsidR="0075161C" w:rsidRPr="004B7A0E" w:rsidRDefault="0075161C" w:rsidP="00976B88">
      <w:pPr>
        <w:rPr>
          <w:rFonts w:asciiTheme="minorHAnsi" w:hAnsiTheme="minorHAnsi" w:cstheme="minorHAnsi"/>
        </w:rPr>
      </w:pPr>
    </w:p>
    <w:p w14:paraId="2F3A7DF7" w14:textId="73718D06" w:rsidR="00976B88" w:rsidRPr="004B7A0E" w:rsidRDefault="00943D8D" w:rsidP="003C428C">
      <w:pPr>
        <w:jc w:val="center"/>
        <w:rPr>
          <w:rFonts w:asciiTheme="minorHAnsi" w:hAnsiTheme="minorHAnsi" w:cstheme="minorHAnsi"/>
          <w:b/>
          <w:bCs/>
        </w:rPr>
      </w:pPr>
      <w:r w:rsidRPr="004B7A0E">
        <w:rPr>
          <w:rFonts w:asciiTheme="minorHAnsi" w:hAnsiTheme="minorHAnsi" w:cstheme="minorHAnsi"/>
          <w:b/>
          <w:bCs/>
        </w:rPr>
        <w:t>Reportovací list</w:t>
      </w:r>
      <w:r w:rsidR="00790B4F" w:rsidRPr="004B7A0E">
        <w:rPr>
          <w:rFonts w:asciiTheme="minorHAnsi" w:hAnsiTheme="minorHAnsi" w:cstheme="minorHAnsi"/>
          <w:b/>
          <w:bCs/>
        </w:rPr>
        <w:t xml:space="preserve"> </w:t>
      </w:r>
      <w:r w:rsidRPr="004B7A0E">
        <w:rPr>
          <w:rFonts w:asciiTheme="minorHAnsi" w:hAnsiTheme="minorHAnsi" w:cstheme="minorHAnsi"/>
          <w:b/>
          <w:bCs/>
        </w:rPr>
        <w:t xml:space="preserve">k plnění zásady „významně nepoškozovat“ </w:t>
      </w:r>
    </w:p>
    <w:p w14:paraId="71FF4644" w14:textId="77777777" w:rsidR="00943D8D" w:rsidRPr="004B7A0E" w:rsidRDefault="00943D8D">
      <w:pPr>
        <w:rPr>
          <w:rFonts w:asciiTheme="minorHAnsi" w:hAnsiTheme="minorHAnsi" w:cstheme="minorHAnsi"/>
        </w:rPr>
      </w:pPr>
    </w:p>
    <w:p w14:paraId="6937A13A" w14:textId="77777777" w:rsidR="00943D8D" w:rsidRPr="004B7A0E" w:rsidRDefault="00943D8D">
      <w:pPr>
        <w:rPr>
          <w:rFonts w:asciiTheme="minorHAnsi" w:hAnsiTheme="minorHAnsi" w:cstheme="minorHAnsi"/>
          <w:u w:val="single"/>
        </w:rPr>
      </w:pPr>
    </w:p>
    <w:p w14:paraId="16311819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Název opatření dle Národního plánu:</w:t>
      </w:r>
    </w:p>
    <w:p w14:paraId="74762B61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746B2032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4CBF1706" w14:textId="77777777" w:rsidR="00976B88" w:rsidRPr="004B7A0E" w:rsidRDefault="00790B4F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59E31A91" w14:textId="7DC33B2E" w:rsidR="00790B4F" w:rsidRPr="004B7A0E" w:rsidRDefault="00A37F0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787F2143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402BF975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720DC98E" w14:textId="663C115E" w:rsidR="00790B4F" w:rsidRPr="004B7A0E" w:rsidRDefault="00465196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3F378D6E" w14:textId="097C24F5" w:rsidR="002E087F" w:rsidRPr="004B7A0E" w:rsidRDefault="002E087F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V případě, že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bylo vyplnění reportovacího listu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částečně přen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eseno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na pověřený subjekt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či třetí osobu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, popište, v jakých dokumentech byla zásada „významně nepoškozovat“ zapracována, jakým způsobem byla zapracována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 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byly získány informace k posouzení apod.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VK může tam, kde je to vhodné, vytvořit implementační submetodiku, která může představovat taktéž jeden ze způsobů,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jak implementaci DNSH vykázat.</w:t>
      </w:r>
    </w:p>
    <w:p w14:paraId="51397B18" w14:textId="77777777" w:rsidR="002E087F" w:rsidRPr="004B7A0E" w:rsidRDefault="002E087F" w:rsidP="003C428C">
      <w:pPr>
        <w:rPr>
          <w:rFonts w:asciiTheme="minorHAnsi" w:hAnsiTheme="minorHAnsi" w:cstheme="minorHAnsi"/>
          <w:i/>
          <w:iCs/>
        </w:rPr>
      </w:pPr>
    </w:p>
    <w:p w14:paraId="25342229" w14:textId="591AADF9" w:rsidR="003A0E4E" w:rsidRPr="004B7A0E" w:rsidRDefault="003C428C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Pro </w:t>
      </w:r>
      <w:r w:rsidR="00465196">
        <w:rPr>
          <w:rFonts w:asciiTheme="minorHAnsi" w:hAnsiTheme="minorHAnsi" w:cstheme="minorHAnsi"/>
          <w:i/>
          <w:iCs/>
          <w:sz w:val="20"/>
          <w:szCs w:val="20"/>
        </w:rPr>
        <w:t xml:space="preserve">identifikaci podmínek DNSH 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vycházejte z</w:t>
      </w:r>
      <w:r w:rsidR="00A37F0D" w:rsidRPr="004B7A0E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5C0F3B96" w14:textId="77777777" w:rsidR="002E087F" w:rsidRDefault="002E087F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Metodického pokynu pro uplatňování zásady DNSH pro Národní plán obnovy na období 2021–2026</w:t>
      </w:r>
    </w:p>
    <w:p w14:paraId="107FA8CF" w14:textId="72C05827" w:rsidR="00465196" w:rsidRDefault="00465196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Přílohy CID</w:t>
      </w:r>
    </w:p>
    <w:p w14:paraId="569B11E9" w14:textId="0EE7ED26" w:rsidR="00465196" w:rsidRPr="00A65921" w:rsidRDefault="00465196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Technických pokynů </w:t>
      </w:r>
      <w:r w:rsidR="00A65921"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Komise </w:t>
      </w:r>
      <w:r w:rsidRPr="00A65921">
        <w:rPr>
          <w:rFonts w:asciiTheme="minorHAnsi" w:hAnsiTheme="minorHAnsi" w:cstheme="minorHAnsi"/>
          <w:i/>
          <w:iCs/>
          <w:sz w:val="20"/>
          <w:szCs w:val="20"/>
        </w:rPr>
        <w:t>k uplatňování zásady „významně nepoškozovat“</w:t>
      </w:r>
    </w:p>
    <w:p w14:paraId="0FCAF866" w14:textId="77777777" w:rsidR="00B87837" w:rsidRPr="004B7A0E" w:rsidRDefault="00B87837">
      <w:pPr>
        <w:rPr>
          <w:rFonts w:asciiTheme="minorHAnsi" w:hAnsiTheme="minorHAnsi" w:cstheme="minorHAnsi"/>
        </w:rPr>
      </w:pPr>
    </w:p>
    <w:p w14:paraId="78A821A4" w14:textId="29DB229D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5023"/>
        <w:gridCol w:w="5026"/>
      </w:tblGrid>
      <w:tr w:rsidR="00373726" w:rsidRPr="004B7A0E" w14:paraId="30CFF918" w14:textId="77777777" w:rsidTr="004B14A7">
        <w:tc>
          <w:tcPr>
            <w:tcW w:w="1283" w:type="pct"/>
            <w:shd w:val="clear" w:color="auto" w:fill="auto"/>
          </w:tcPr>
          <w:p w14:paraId="651F8072" w14:textId="6076B8ED" w:rsidR="00373726" w:rsidRPr="004B14A7" w:rsidRDefault="00E039F1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858" w:type="pct"/>
            <w:shd w:val="clear" w:color="auto" w:fill="auto"/>
          </w:tcPr>
          <w:p w14:paraId="048F769A" w14:textId="45A13E0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  <w:r w:rsidR="0036184F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  <w:p w14:paraId="0EC5959D" w14:textId="77777777" w:rsidR="00373726" w:rsidRPr="004B14A7" w:rsidRDefault="00373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9" w:type="pct"/>
            <w:shd w:val="clear" w:color="auto" w:fill="auto"/>
          </w:tcPr>
          <w:p w14:paraId="422D4D16" w14:textId="79FEC28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  <w:r w:rsidR="0036184F" w:rsidRPr="004B7A0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  <w:p w14:paraId="5EF3249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73726" w:rsidRPr="004B7A0E" w14:paraId="459C72F5" w14:textId="77777777" w:rsidTr="004B14A7">
        <w:tc>
          <w:tcPr>
            <w:tcW w:w="1283" w:type="pct"/>
            <w:shd w:val="clear" w:color="auto" w:fill="auto"/>
          </w:tcPr>
          <w:p w14:paraId="3593DCB2" w14:textId="5CCD7A2C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lastRenderedPageBreak/>
              <w:t xml:space="preserve">Zmírňování změny klimatu </w:t>
            </w:r>
          </w:p>
          <w:p w14:paraId="04865D6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8" w:type="pct"/>
            <w:shd w:val="clear" w:color="auto" w:fill="auto"/>
          </w:tcPr>
          <w:p w14:paraId="31B8F502" w14:textId="3CD2A965" w:rsidR="00373726" w:rsidRPr="004B7A0E" w:rsidRDefault="00AB24E0" w:rsidP="00AB24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specific DNSH conditions were identified in the National Recovery Plan as well as in the Council Implementing Decision. </w:t>
            </w:r>
            <w:r w:rsidRPr="00AB24E0">
              <w:rPr>
                <w:rFonts w:asciiTheme="minorHAnsi" w:hAnsiTheme="minorHAnsi" w:cstheme="minorHAnsi"/>
              </w:rPr>
              <w:t>The activi</w:t>
            </w:r>
            <w:r>
              <w:rPr>
                <w:rFonts w:asciiTheme="minorHAnsi" w:hAnsiTheme="minorHAnsi" w:cstheme="minorHAnsi"/>
              </w:rPr>
              <w:t>ty triggered by the measure was identified as having</w:t>
            </w:r>
            <w:r w:rsidRPr="00AB24E0">
              <w:rPr>
                <w:rFonts w:asciiTheme="minorHAnsi" w:hAnsiTheme="minorHAnsi" w:cstheme="minorHAnsi"/>
              </w:rPr>
              <w:t xml:space="preserve"> negligible foreseeable impact on the environmental target, taking into account both direct and indirect life cycle impacts. No risks of environme</w:t>
            </w:r>
            <w:r>
              <w:rPr>
                <w:rFonts w:asciiTheme="minorHAnsi" w:hAnsiTheme="minorHAnsi" w:cstheme="minorHAnsi"/>
              </w:rPr>
              <w:t>ntal degradation were identified.</w:t>
            </w:r>
          </w:p>
        </w:tc>
        <w:tc>
          <w:tcPr>
            <w:tcW w:w="1859" w:type="pct"/>
            <w:shd w:val="clear" w:color="auto" w:fill="auto"/>
          </w:tcPr>
          <w:p w14:paraId="4084E6F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3CEC97AC" w14:textId="77777777" w:rsidTr="004B14A7">
        <w:tc>
          <w:tcPr>
            <w:tcW w:w="1283" w:type="pct"/>
            <w:shd w:val="clear" w:color="auto" w:fill="auto"/>
          </w:tcPr>
          <w:p w14:paraId="1DF2FED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Přizpůsobování se změně klimatu </w:t>
            </w:r>
          </w:p>
        </w:tc>
        <w:tc>
          <w:tcPr>
            <w:tcW w:w="1858" w:type="pct"/>
            <w:shd w:val="clear" w:color="auto" w:fill="auto"/>
          </w:tcPr>
          <w:p w14:paraId="0E265B4A" w14:textId="2FE0FE47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specific DNSH conditions were identified in the National Recovery Plan as well as in the Council Implementing Decision. </w:t>
            </w:r>
            <w:r w:rsidRPr="00AB24E0">
              <w:rPr>
                <w:rFonts w:asciiTheme="minorHAnsi" w:hAnsiTheme="minorHAnsi" w:cstheme="minorHAnsi"/>
              </w:rPr>
              <w:t>The activi</w:t>
            </w:r>
            <w:r>
              <w:rPr>
                <w:rFonts w:asciiTheme="minorHAnsi" w:hAnsiTheme="minorHAnsi" w:cstheme="minorHAnsi"/>
              </w:rPr>
              <w:t>ty triggered by the measure was identified as having</w:t>
            </w:r>
            <w:r w:rsidRPr="00AB24E0">
              <w:rPr>
                <w:rFonts w:asciiTheme="minorHAnsi" w:hAnsiTheme="minorHAnsi" w:cstheme="minorHAnsi"/>
              </w:rPr>
              <w:t xml:space="preserve"> negligible foreseeable impact on the environmental target, taking into account both direct and indirect life cycle impacts. No risks of environme</w:t>
            </w:r>
            <w:r>
              <w:rPr>
                <w:rFonts w:asciiTheme="minorHAnsi" w:hAnsiTheme="minorHAnsi" w:cstheme="minorHAnsi"/>
              </w:rPr>
              <w:t>ntal degradation were identified.</w:t>
            </w:r>
          </w:p>
        </w:tc>
        <w:tc>
          <w:tcPr>
            <w:tcW w:w="1859" w:type="pct"/>
            <w:shd w:val="clear" w:color="auto" w:fill="auto"/>
          </w:tcPr>
          <w:p w14:paraId="4EB97C9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8E2A83F" w14:textId="77777777" w:rsidTr="004B14A7">
        <w:tc>
          <w:tcPr>
            <w:tcW w:w="1283" w:type="pct"/>
            <w:shd w:val="clear" w:color="auto" w:fill="auto"/>
          </w:tcPr>
          <w:p w14:paraId="5B8388E2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858" w:type="pct"/>
            <w:shd w:val="clear" w:color="auto" w:fill="auto"/>
          </w:tcPr>
          <w:p w14:paraId="6027396A" w14:textId="6587A536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specific DNSH conditions were identified in the National Recovery Plan as well as in the Council Implementing Decision. </w:t>
            </w:r>
            <w:r w:rsidRPr="00AB24E0">
              <w:rPr>
                <w:rFonts w:asciiTheme="minorHAnsi" w:hAnsiTheme="minorHAnsi" w:cstheme="minorHAnsi"/>
              </w:rPr>
              <w:t>The activi</w:t>
            </w:r>
            <w:r>
              <w:rPr>
                <w:rFonts w:asciiTheme="minorHAnsi" w:hAnsiTheme="minorHAnsi" w:cstheme="minorHAnsi"/>
              </w:rPr>
              <w:t>ty triggered by the measure was identified as having</w:t>
            </w:r>
            <w:r w:rsidRPr="00AB24E0">
              <w:rPr>
                <w:rFonts w:asciiTheme="minorHAnsi" w:hAnsiTheme="minorHAnsi" w:cstheme="minorHAnsi"/>
              </w:rPr>
              <w:t xml:space="preserve"> negligible foreseeable impact on the environmental target, taking into account both direct and indirect life cycle impacts. No risks of environme</w:t>
            </w:r>
            <w:r>
              <w:rPr>
                <w:rFonts w:asciiTheme="minorHAnsi" w:hAnsiTheme="minorHAnsi" w:cstheme="minorHAnsi"/>
              </w:rPr>
              <w:t>ntal degradation were identified.</w:t>
            </w:r>
          </w:p>
        </w:tc>
        <w:tc>
          <w:tcPr>
            <w:tcW w:w="1859" w:type="pct"/>
            <w:shd w:val="clear" w:color="auto" w:fill="auto"/>
          </w:tcPr>
          <w:p w14:paraId="367530E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0EC36641" w14:textId="77777777" w:rsidTr="004B14A7">
        <w:tc>
          <w:tcPr>
            <w:tcW w:w="1283" w:type="pct"/>
            <w:shd w:val="clear" w:color="auto" w:fill="auto"/>
          </w:tcPr>
          <w:p w14:paraId="3A5D62E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858" w:type="pct"/>
            <w:shd w:val="clear" w:color="auto" w:fill="auto"/>
          </w:tcPr>
          <w:p w14:paraId="2BA85F4F" w14:textId="1FD9E408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specific DNSH conditions were identified in the National Recovery Plan as well as in the Council Implementing Decision. </w:t>
            </w:r>
            <w:r w:rsidRPr="00AB24E0">
              <w:rPr>
                <w:rFonts w:asciiTheme="minorHAnsi" w:hAnsiTheme="minorHAnsi" w:cstheme="minorHAnsi"/>
              </w:rPr>
              <w:t>The activi</w:t>
            </w:r>
            <w:r>
              <w:rPr>
                <w:rFonts w:asciiTheme="minorHAnsi" w:hAnsiTheme="minorHAnsi" w:cstheme="minorHAnsi"/>
              </w:rPr>
              <w:t>ty triggered by the measure was identified as having</w:t>
            </w:r>
            <w:r w:rsidRPr="00AB24E0">
              <w:rPr>
                <w:rFonts w:asciiTheme="minorHAnsi" w:hAnsiTheme="minorHAnsi" w:cstheme="minorHAnsi"/>
              </w:rPr>
              <w:t xml:space="preserve"> negligible foreseeable impact on the environmental target, taking into account both </w:t>
            </w:r>
            <w:r w:rsidRPr="00AB24E0">
              <w:rPr>
                <w:rFonts w:asciiTheme="minorHAnsi" w:hAnsiTheme="minorHAnsi" w:cstheme="minorHAnsi"/>
              </w:rPr>
              <w:lastRenderedPageBreak/>
              <w:t>direct and indirect life cycle impacts. No risks of environme</w:t>
            </w:r>
            <w:r>
              <w:rPr>
                <w:rFonts w:asciiTheme="minorHAnsi" w:hAnsiTheme="minorHAnsi" w:cstheme="minorHAnsi"/>
              </w:rPr>
              <w:t>ntal degradation were identified.</w:t>
            </w:r>
          </w:p>
        </w:tc>
        <w:tc>
          <w:tcPr>
            <w:tcW w:w="1859" w:type="pct"/>
            <w:shd w:val="clear" w:color="auto" w:fill="auto"/>
          </w:tcPr>
          <w:p w14:paraId="1252D509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A071A13" w14:textId="77777777" w:rsidTr="004B14A7">
        <w:tc>
          <w:tcPr>
            <w:tcW w:w="1283" w:type="pct"/>
            <w:shd w:val="clear" w:color="auto" w:fill="auto"/>
          </w:tcPr>
          <w:p w14:paraId="793696FD" w14:textId="3D789F3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Prevence a omezování znečištění ovzduší, vody nebo půdy</w:t>
            </w:r>
          </w:p>
        </w:tc>
        <w:tc>
          <w:tcPr>
            <w:tcW w:w="1858" w:type="pct"/>
            <w:shd w:val="clear" w:color="auto" w:fill="auto"/>
          </w:tcPr>
          <w:p w14:paraId="3E4B5DC6" w14:textId="050DD177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specific DNSH conditions were identified in the National Recovery Plan as well as in the Council Implementing Decision. </w:t>
            </w:r>
            <w:r w:rsidRPr="00AB24E0">
              <w:rPr>
                <w:rFonts w:asciiTheme="minorHAnsi" w:hAnsiTheme="minorHAnsi" w:cstheme="minorHAnsi"/>
              </w:rPr>
              <w:t>The activi</w:t>
            </w:r>
            <w:r>
              <w:rPr>
                <w:rFonts w:asciiTheme="minorHAnsi" w:hAnsiTheme="minorHAnsi" w:cstheme="minorHAnsi"/>
              </w:rPr>
              <w:t>ty triggered by the measure was identified as having</w:t>
            </w:r>
            <w:r w:rsidRPr="00AB24E0">
              <w:rPr>
                <w:rFonts w:asciiTheme="minorHAnsi" w:hAnsiTheme="minorHAnsi" w:cstheme="minorHAnsi"/>
              </w:rPr>
              <w:t xml:space="preserve"> negligible foreseeable impact on the environmental target, taking into account both direct and indirect life cycle impacts. No risks of environme</w:t>
            </w:r>
            <w:r>
              <w:rPr>
                <w:rFonts w:asciiTheme="minorHAnsi" w:hAnsiTheme="minorHAnsi" w:cstheme="minorHAnsi"/>
              </w:rPr>
              <w:t>ntal degradation were identified.</w:t>
            </w:r>
          </w:p>
        </w:tc>
        <w:tc>
          <w:tcPr>
            <w:tcW w:w="1859" w:type="pct"/>
            <w:shd w:val="clear" w:color="auto" w:fill="auto"/>
          </w:tcPr>
          <w:p w14:paraId="37977F9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1960837D" w14:textId="77777777" w:rsidTr="004B14A7">
        <w:tc>
          <w:tcPr>
            <w:tcW w:w="1283" w:type="pct"/>
            <w:shd w:val="clear" w:color="auto" w:fill="auto"/>
          </w:tcPr>
          <w:p w14:paraId="0D8030A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858" w:type="pct"/>
            <w:shd w:val="clear" w:color="auto" w:fill="auto"/>
          </w:tcPr>
          <w:p w14:paraId="09D76A23" w14:textId="7E296B70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specific DNSH conditions were identified in the National Recovery Plan as well as in the Council Implementing Decision. </w:t>
            </w:r>
            <w:r w:rsidRPr="00AB24E0">
              <w:rPr>
                <w:rFonts w:asciiTheme="minorHAnsi" w:hAnsiTheme="minorHAnsi" w:cstheme="minorHAnsi"/>
              </w:rPr>
              <w:t>The activi</w:t>
            </w:r>
            <w:r>
              <w:rPr>
                <w:rFonts w:asciiTheme="minorHAnsi" w:hAnsiTheme="minorHAnsi" w:cstheme="minorHAnsi"/>
              </w:rPr>
              <w:t>ty triggered by the measure was identified as having</w:t>
            </w:r>
            <w:r w:rsidRPr="00AB24E0">
              <w:rPr>
                <w:rFonts w:asciiTheme="minorHAnsi" w:hAnsiTheme="minorHAnsi" w:cstheme="minorHAnsi"/>
              </w:rPr>
              <w:t xml:space="preserve"> negligible foreseeable impact on the environmental target, taking into account both direct and indirect life cycle impacts. No risks of environme</w:t>
            </w:r>
            <w:r>
              <w:rPr>
                <w:rFonts w:asciiTheme="minorHAnsi" w:hAnsiTheme="minorHAnsi" w:cstheme="minorHAnsi"/>
              </w:rPr>
              <w:t>ntal degradation were identified.</w:t>
            </w:r>
          </w:p>
        </w:tc>
        <w:tc>
          <w:tcPr>
            <w:tcW w:w="1859" w:type="pct"/>
            <w:shd w:val="clear" w:color="auto" w:fill="auto"/>
          </w:tcPr>
          <w:p w14:paraId="7362338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</w:tbl>
    <w:p w14:paraId="26A10F2E" w14:textId="77777777" w:rsidR="00C11CF4" w:rsidRPr="004B7A0E" w:rsidRDefault="00C11CF4" w:rsidP="00A37F0D">
      <w:pPr>
        <w:rPr>
          <w:rFonts w:asciiTheme="minorHAnsi" w:hAnsiTheme="minorHAnsi" w:cstheme="minorHAnsi"/>
          <w:i/>
          <w:iCs/>
        </w:rPr>
      </w:pPr>
    </w:p>
    <w:p w14:paraId="14B37DA7" w14:textId="77777777" w:rsidR="00AB24E0" w:rsidRDefault="00AB24E0" w:rsidP="00AB24E0">
      <w:pPr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4B8A5A5C" w14:textId="0AE956E9" w:rsidR="00AB24E0" w:rsidRPr="004B7A0E" w:rsidRDefault="00AB24E0" w:rsidP="00AB24E0">
      <w:pPr>
        <w:ind w:firstLine="708"/>
        <w:jc w:val="both"/>
        <w:rPr>
          <w:rFonts w:asciiTheme="minorHAnsi" w:hAnsiTheme="minorHAnsi" w:cstheme="minorHAnsi"/>
        </w:rPr>
      </w:pPr>
      <w:r w:rsidRPr="00AB24E0">
        <w:rPr>
          <w:rFonts w:asciiTheme="minorHAnsi" w:hAnsiTheme="minorHAnsi" w:cstheme="minorHAnsi"/>
        </w:rPr>
        <w:t>Potvrzuji, že během realizace projektu byla splněna zásada významně nepoškozovat v rámci Nástroje pro oživení a odolnost ve smyslu čl. 17 Nařízení Evropského parlamentu a Rady (EU) č. 2020/852 ze dne 18. června 2020 o zřízení rámce pro usnadnění udržitelných investic a o změně nařízení (EU) 2019/2088 (tzv. „Nařízení o Taxonomii“).</w:t>
      </w:r>
    </w:p>
    <w:p w14:paraId="15B94E4C" w14:textId="77777777" w:rsidR="00AB24E0" w:rsidRPr="004B7A0E" w:rsidRDefault="00AB24E0" w:rsidP="00AB24E0">
      <w:pPr>
        <w:rPr>
          <w:rFonts w:asciiTheme="minorHAnsi" w:hAnsiTheme="minorHAnsi" w:cstheme="minorHAnsi"/>
        </w:rPr>
      </w:pPr>
    </w:p>
    <w:p w14:paraId="16E06B8E" w14:textId="77777777" w:rsidR="00AB24E0" w:rsidRDefault="00AB24E0" w:rsidP="00AB24E0">
      <w:pPr>
        <w:rPr>
          <w:rFonts w:asciiTheme="minorHAnsi" w:hAnsiTheme="minorHAnsi" w:cstheme="minorHAnsi"/>
        </w:rPr>
      </w:pPr>
    </w:p>
    <w:p w14:paraId="3A8AE873" w14:textId="77777777" w:rsidR="00AB24E0" w:rsidRPr="004B7A0E" w:rsidRDefault="00AB24E0" w:rsidP="00AB24E0">
      <w:pPr>
        <w:rPr>
          <w:rFonts w:asciiTheme="minorHAnsi" w:hAnsiTheme="minorHAnsi" w:cstheme="minorHAnsi"/>
        </w:rPr>
      </w:pPr>
    </w:p>
    <w:p w14:paraId="7E0450A6" w14:textId="77777777" w:rsidR="00AB24E0" w:rsidRPr="004B7A0E" w:rsidRDefault="00AB24E0" w:rsidP="00AB24E0">
      <w:pPr>
        <w:rPr>
          <w:rFonts w:asciiTheme="minorHAnsi" w:hAnsiTheme="minorHAnsi" w:cstheme="minorHAnsi"/>
        </w:rPr>
      </w:pPr>
    </w:p>
    <w:p w14:paraId="0696FE73" w14:textId="77777777" w:rsidR="00AB24E0" w:rsidRPr="004B7A0E" w:rsidRDefault="00AB24E0" w:rsidP="00AB24E0">
      <w:pPr>
        <w:tabs>
          <w:tab w:val="left" w:pos="5670"/>
        </w:tabs>
        <w:rPr>
          <w:rFonts w:asciiTheme="minorHAnsi" w:hAnsiTheme="minorHAnsi" w:cstheme="minorHAnsi"/>
        </w:rPr>
      </w:pPr>
      <w:r w:rsidRPr="004B7A0E">
        <w:rPr>
          <w:rFonts w:asciiTheme="minorHAnsi" w:hAnsiTheme="minorHAnsi" w:cstheme="minorHAnsi"/>
        </w:rPr>
        <w:t>V ………… dne</w:t>
      </w:r>
      <w:r>
        <w:rPr>
          <w:rFonts w:asciiTheme="minorHAnsi" w:hAnsiTheme="minorHAnsi" w:cstheme="minorHAnsi"/>
        </w:rPr>
        <w:t xml:space="preserve"> </w:t>
      </w:r>
      <w:r w:rsidRPr="004B7A0E">
        <w:rPr>
          <w:rFonts w:asciiTheme="minorHAnsi" w:hAnsiTheme="minorHAnsi" w:cstheme="minorHAnsi"/>
        </w:rPr>
        <w:t>…….</w:t>
      </w:r>
      <w:r w:rsidRPr="004B7A0E">
        <w:rPr>
          <w:rFonts w:asciiTheme="minorHAnsi" w:hAnsiTheme="minorHAnsi" w:cstheme="minorHAnsi"/>
        </w:rPr>
        <w:tab/>
        <w:t>Podpis</w:t>
      </w:r>
    </w:p>
    <w:p w14:paraId="69AC24EB" w14:textId="77777777" w:rsidR="00AB24E0" w:rsidRPr="004B7A0E" w:rsidRDefault="00AB24E0" w:rsidP="00AB24E0">
      <w:pPr>
        <w:tabs>
          <w:tab w:val="left" w:pos="5670"/>
        </w:tabs>
        <w:rPr>
          <w:rFonts w:asciiTheme="minorHAnsi" w:hAnsiTheme="minorHAnsi" w:cstheme="minorHAnsi"/>
        </w:rPr>
      </w:pPr>
    </w:p>
    <w:p w14:paraId="16245998" w14:textId="336A01D9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4B14A7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7" w:right="1893" w:bottom="127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2388" w14:textId="77777777" w:rsidR="00D7231F" w:rsidRDefault="00D7231F" w:rsidP="00943D8D">
      <w:r>
        <w:separator/>
      </w:r>
    </w:p>
  </w:endnote>
  <w:endnote w:type="continuationSeparator" w:id="0">
    <w:p w14:paraId="77BF9853" w14:textId="77777777" w:rsidR="00D7231F" w:rsidRDefault="00D7231F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168" w14:textId="4354C1F5" w:rsidR="004B7A0E" w:rsidRDefault="004B7A0E" w:rsidP="00795001">
    <w:pPr>
      <w:pStyle w:val="Zpat"/>
    </w:pPr>
  </w:p>
  <w:p w14:paraId="04E22C88" w14:textId="77777777" w:rsidR="00EB7C16" w:rsidRDefault="00EB7C16" w:rsidP="00EB7C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BDAD" w14:textId="77777777" w:rsidR="00D7231F" w:rsidRDefault="00D7231F" w:rsidP="00943D8D">
      <w:r>
        <w:separator/>
      </w:r>
    </w:p>
  </w:footnote>
  <w:footnote w:type="continuationSeparator" w:id="0">
    <w:p w14:paraId="4BD872F7" w14:textId="77777777" w:rsidR="00D7231F" w:rsidRDefault="00D7231F" w:rsidP="00943D8D">
      <w:r>
        <w:continuationSeparator/>
      </w:r>
    </w:p>
  </w:footnote>
  <w:footnote w:id="1">
    <w:p w14:paraId="7BA7EEA1" w14:textId="73C1367D" w:rsidR="0036184F" w:rsidRDefault="0036184F">
      <w:pPr>
        <w:pStyle w:val="Textpoznpodarou"/>
      </w:pPr>
      <w:r>
        <w:rPr>
          <w:rStyle w:val="Znakapoznpodarou"/>
        </w:rPr>
        <w:footnoteRef/>
      </w:r>
      <w:r>
        <w:t xml:space="preserve"> Vyplňuje vlastník komponenty</w:t>
      </w:r>
    </w:p>
  </w:footnote>
  <w:footnote w:id="2">
    <w:p w14:paraId="6D675D87" w14:textId="3BD373E8" w:rsidR="0036184F" w:rsidRDefault="0036184F" w:rsidP="0036184F">
      <w:pPr>
        <w:pStyle w:val="Textpoznpodarou"/>
      </w:pPr>
      <w:r>
        <w:rPr>
          <w:rStyle w:val="Znakapoznpodarou"/>
        </w:rPr>
        <w:footnoteRef/>
      </w:r>
      <w:r>
        <w:t xml:space="preserve"> Vyplňuje subjekt pověřený k reportování, tj. buď vlastník komponenty, nebo ten, který vykonává činnost na opatření (organizační složka státu, státní příspěvková organizace, firma aj.)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3CA1" w14:textId="3E705C67" w:rsidR="002357FA" w:rsidRDefault="002357FA" w:rsidP="002357FA">
    <w:pPr>
      <w:pStyle w:val="Zhlav"/>
      <w:ind w:left="708"/>
    </w:pPr>
  </w:p>
  <w:p w14:paraId="3581AA3B" w14:textId="77777777" w:rsidR="002357FA" w:rsidRPr="002357FA" w:rsidRDefault="002357FA" w:rsidP="00235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F325" w14:textId="29B99E0E" w:rsidR="00116ADE" w:rsidRDefault="00E734DB" w:rsidP="004B7A0E">
    <w:pPr>
      <w:pStyle w:val="Zhlav"/>
      <w:ind w:left="708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EC1C1B2" wp14:editId="22F8B3D6">
          <wp:simplePos x="0" y="0"/>
          <wp:positionH relativeFrom="margin">
            <wp:posOffset>7689215</wp:posOffset>
          </wp:positionH>
          <wp:positionV relativeFrom="topMargin">
            <wp:posOffset>239395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C74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6D916773" wp14:editId="5359AAC6">
          <wp:simplePos x="0" y="0"/>
          <wp:positionH relativeFrom="margin">
            <wp:posOffset>3822065</wp:posOffset>
          </wp:positionH>
          <wp:positionV relativeFrom="topMargin">
            <wp:posOffset>239395</wp:posOffset>
          </wp:positionV>
          <wp:extent cx="1009015" cy="427355"/>
          <wp:effectExtent l="0" t="0" r="635" b="0"/>
          <wp:wrapSquare wrapText="bothSides"/>
          <wp:docPr id="2" name="Obrázek 2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1E9C43B" wp14:editId="56596556">
          <wp:simplePos x="0" y="0"/>
          <wp:positionH relativeFrom="margin">
            <wp:posOffset>81280</wp:posOffset>
          </wp:positionH>
          <wp:positionV relativeFrom="topMargin">
            <wp:posOffset>238125</wp:posOffset>
          </wp:positionV>
          <wp:extent cx="1581785" cy="473075"/>
          <wp:effectExtent l="0" t="0" r="0" b="3175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5AD">
      <w:t xml:space="preserve">                                </w:t>
    </w:r>
    <w:r w:rsidR="00BE35AD" w:rsidRPr="00BE35AD">
      <w:rPr>
        <w:noProof/>
        <w:lang w:eastAsia="cs-CZ"/>
      </w:rPr>
      <w:t xml:space="preserve"> </w:t>
    </w:r>
    <w:r w:rsidR="00BE35AD">
      <w:rPr>
        <w:noProof/>
        <w:lang w:eastAsia="cs-CZ"/>
      </w:rPr>
      <w:t xml:space="preserve">                    </w:t>
    </w:r>
  </w:p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98"/>
      <w:gridCol w:w="227"/>
    </w:tblGrid>
    <w:tr w:rsidR="00116ADE" w:rsidRPr="00CA28C9" w14:paraId="700CFD5B" w14:textId="77777777" w:rsidTr="00B30812">
      <w:trPr>
        <w:trHeight w:val="988"/>
      </w:trPr>
      <w:tc>
        <w:tcPr>
          <w:tcW w:w="9281" w:type="dxa"/>
        </w:tcPr>
        <w:p w14:paraId="500BC74F" w14:textId="3A2C91A4" w:rsidR="00116ADE" w:rsidRDefault="00116ADE" w:rsidP="00116ADE">
          <w:pPr>
            <w:tabs>
              <w:tab w:val="left" w:pos="1005"/>
            </w:tabs>
          </w:pPr>
          <w:r>
            <w:tab/>
          </w:r>
        </w:p>
        <w:p w14:paraId="6EEA10BE" w14:textId="14893D58" w:rsidR="00116ADE" w:rsidRPr="00665278" w:rsidRDefault="00116ADE" w:rsidP="00116ADE">
          <w:pPr>
            <w:jc w:val="right"/>
          </w:pPr>
        </w:p>
      </w:tc>
      <w:tc>
        <w:tcPr>
          <w:tcW w:w="222" w:type="dxa"/>
          <w:vAlign w:val="center"/>
        </w:tcPr>
        <w:p w14:paraId="24912A35" w14:textId="613AE075" w:rsidR="00116ADE" w:rsidRPr="00CA28C9" w:rsidRDefault="00116ADE" w:rsidP="00116ADE">
          <w:pPr>
            <w:tabs>
              <w:tab w:val="left" w:pos="4175"/>
            </w:tabs>
            <w:jc w:val="center"/>
            <w:rPr>
              <w:b/>
              <w:sz w:val="20"/>
              <w:szCs w:val="20"/>
            </w:rPr>
          </w:pPr>
        </w:p>
      </w:tc>
    </w:tr>
  </w:tbl>
  <w:p w14:paraId="1AB1F618" w14:textId="3EE5A16B" w:rsidR="004B7A0E" w:rsidRDefault="00BE35AD" w:rsidP="00BE35AD">
    <w:pPr>
      <w:pStyle w:val="Zhlav"/>
      <w:tabs>
        <w:tab w:val="clear" w:pos="4536"/>
        <w:tab w:val="clear" w:pos="9072"/>
        <w:tab w:val="left" w:pos="59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6377">
    <w:abstractNumId w:val="7"/>
  </w:num>
  <w:num w:numId="2" w16cid:durableId="1592008847">
    <w:abstractNumId w:val="1"/>
  </w:num>
  <w:num w:numId="3" w16cid:durableId="622469141">
    <w:abstractNumId w:val="3"/>
  </w:num>
  <w:num w:numId="4" w16cid:durableId="1780097776">
    <w:abstractNumId w:val="11"/>
  </w:num>
  <w:num w:numId="5" w16cid:durableId="393701505">
    <w:abstractNumId w:val="9"/>
  </w:num>
  <w:num w:numId="6" w16cid:durableId="2142727200">
    <w:abstractNumId w:val="8"/>
  </w:num>
  <w:num w:numId="7" w16cid:durableId="793787249">
    <w:abstractNumId w:val="2"/>
  </w:num>
  <w:num w:numId="8" w16cid:durableId="1888687607">
    <w:abstractNumId w:val="10"/>
  </w:num>
  <w:num w:numId="9" w16cid:durableId="1481117378">
    <w:abstractNumId w:val="6"/>
  </w:num>
  <w:num w:numId="10" w16cid:durableId="1604722637">
    <w:abstractNumId w:val="5"/>
  </w:num>
  <w:num w:numId="11" w16cid:durableId="1623534468">
    <w:abstractNumId w:val="4"/>
  </w:num>
  <w:num w:numId="12" w16cid:durableId="18866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10465"/>
    <w:rsid w:val="000C727F"/>
    <w:rsid w:val="00116ADE"/>
    <w:rsid w:val="001204D0"/>
    <w:rsid w:val="00145797"/>
    <w:rsid w:val="001744BC"/>
    <w:rsid w:val="001959A9"/>
    <w:rsid w:val="001F52C9"/>
    <w:rsid w:val="00206777"/>
    <w:rsid w:val="002357FA"/>
    <w:rsid w:val="002E087F"/>
    <w:rsid w:val="0036184F"/>
    <w:rsid w:val="00373726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B14A7"/>
    <w:rsid w:val="004B7A0E"/>
    <w:rsid w:val="00583E39"/>
    <w:rsid w:val="005965CE"/>
    <w:rsid w:val="005B6DD2"/>
    <w:rsid w:val="00600150"/>
    <w:rsid w:val="0060400D"/>
    <w:rsid w:val="006231C2"/>
    <w:rsid w:val="0067565A"/>
    <w:rsid w:val="0068647F"/>
    <w:rsid w:val="006A2F59"/>
    <w:rsid w:val="006D779C"/>
    <w:rsid w:val="0075161C"/>
    <w:rsid w:val="00790B4F"/>
    <w:rsid w:val="00795001"/>
    <w:rsid w:val="007C01D2"/>
    <w:rsid w:val="008020C6"/>
    <w:rsid w:val="0087358A"/>
    <w:rsid w:val="00873E57"/>
    <w:rsid w:val="008976F6"/>
    <w:rsid w:val="008A05C6"/>
    <w:rsid w:val="008A5A8D"/>
    <w:rsid w:val="008B0A92"/>
    <w:rsid w:val="008D398B"/>
    <w:rsid w:val="009211BB"/>
    <w:rsid w:val="00923410"/>
    <w:rsid w:val="00942EE4"/>
    <w:rsid w:val="00943D8D"/>
    <w:rsid w:val="00947CC1"/>
    <w:rsid w:val="00957FA0"/>
    <w:rsid w:val="009714EA"/>
    <w:rsid w:val="00976B88"/>
    <w:rsid w:val="009A467F"/>
    <w:rsid w:val="009B4055"/>
    <w:rsid w:val="009C125B"/>
    <w:rsid w:val="009C2B44"/>
    <w:rsid w:val="009D1C35"/>
    <w:rsid w:val="00A27804"/>
    <w:rsid w:val="00A31E63"/>
    <w:rsid w:val="00A3791B"/>
    <w:rsid w:val="00A37F0D"/>
    <w:rsid w:val="00A65921"/>
    <w:rsid w:val="00A76AC4"/>
    <w:rsid w:val="00A92574"/>
    <w:rsid w:val="00AB24E0"/>
    <w:rsid w:val="00B159EE"/>
    <w:rsid w:val="00B46E2F"/>
    <w:rsid w:val="00B870E0"/>
    <w:rsid w:val="00B87837"/>
    <w:rsid w:val="00BB61A9"/>
    <w:rsid w:val="00BE2AAE"/>
    <w:rsid w:val="00BE35AD"/>
    <w:rsid w:val="00BE5BBC"/>
    <w:rsid w:val="00C11CF4"/>
    <w:rsid w:val="00C25B26"/>
    <w:rsid w:val="00C358F6"/>
    <w:rsid w:val="00C45373"/>
    <w:rsid w:val="00C97075"/>
    <w:rsid w:val="00CB3998"/>
    <w:rsid w:val="00CC002C"/>
    <w:rsid w:val="00CC328B"/>
    <w:rsid w:val="00D60DCD"/>
    <w:rsid w:val="00D7231F"/>
    <w:rsid w:val="00D767A8"/>
    <w:rsid w:val="00DA50D6"/>
    <w:rsid w:val="00DF1B81"/>
    <w:rsid w:val="00E039F1"/>
    <w:rsid w:val="00E0746D"/>
    <w:rsid w:val="00E273A6"/>
    <w:rsid w:val="00E53D53"/>
    <w:rsid w:val="00E734DB"/>
    <w:rsid w:val="00EB7C16"/>
    <w:rsid w:val="00EC473D"/>
    <w:rsid w:val="00EC5333"/>
    <w:rsid w:val="00F00305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76028D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C0DBF-16A9-4A32-B45B-342DB1D52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3020C-9EC0-40E9-BE8A-0DD7DA613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0DCE-DDC1-4EA1-A0D4-1CACC46A8A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A4BC8A-1CE9-497F-8B03-54BB24F5BD2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Tomanová</dc:creator>
  <cp:keywords/>
  <dc:description/>
  <cp:lastModifiedBy>Bartoňová Hana</cp:lastModifiedBy>
  <cp:revision>3</cp:revision>
  <cp:lastPrinted>2022-05-31T09:45:00Z</cp:lastPrinted>
  <dcterms:created xsi:type="dcterms:W3CDTF">2024-01-31T11:33:00Z</dcterms:created>
  <dcterms:modified xsi:type="dcterms:W3CDTF">2024-03-18T17:47:00Z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2023-11-20T14:51:13Z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7a46ab0b-920b-4b54-a673-7166b7afccde</vt:lpwstr>
  </property>
  <property fmtid="{D5CDD505-2E9C-101B-9397-08002B2CF9AE}" pid="9" name="MSIP_Label_defa4170-0d19-0005-0004-bc88714345d2_ContentBits">
    <vt:lpwstr>0</vt:lpwstr>
  </property>
</Properties>
</file>