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76" w:rsidRPr="00DA3F76" w:rsidRDefault="00DA3F76" w:rsidP="00DA3F76">
      <w:pPr>
        <w:jc w:val="both"/>
        <w:rPr>
          <w:rFonts w:cs="Arial"/>
        </w:rPr>
      </w:pPr>
      <w:r w:rsidRPr="00DA3F76">
        <w:rPr>
          <w:rFonts w:cs="Arial"/>
        </w:rPr>
        <w:t>Č. j.: MV-210707-1/EG-2021</w:t>
      </w:r>
    </w:p>
    <w:p w:rsidR="00DA3F76" w:rsidRDefault="00DA3F76" w:rsidP="005558D0">
      <w:pPr>
        <w:jc w:val="both"/>
        <w:rPr>
          <w:rFonts w:cs="Arial"/>
        </w:rPr>
      </w:pPr>
    </w:p>
    <w:p w:rsidR="005558D0" w:rsidRDefault="005558D0" w:rsidP="005558D0">
      <w:pPr>
        <w:jc w:val="both"/>
        <w:rPr>
          <w:rFonts w:cs="Arial"/>
        </w:rPr>
      </w:pPr>
    </w:p>
    <w:p w:rsidR="005A3D36" w:rsidRDefault="005A3D36" w:rsidP="005558D0">
      <w:pPr>
        <w:jc w:val="both"/>
        <w:rPr>
          <w:rFonts w:cs="Arial"/>
        </w:rPr>
      </w:pPr>
    </w:p>
    <w:p w:rsidR="005558D0" w:rsidRPr="009E46A7" w:rsidRDefault="005A3D36" w:rsidP="005558D0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Zpráva České republiky o výsledku monitorování přístupnosti </w:t>
      </w:r>
      <w:r w:rsidR="005558D0" w:rsidRPr="009E46A7">
        <w:rPr>
          <w:rFonts w:cs="Arial"/>
          <w:b/>
          <w:sz w:val="28"/>
        </w:rPr>
        <w:t xml:space="preserve">internetových stránek a mobilních aplikací subjektů veřejného sektoru </w:t>
      </w:r>
      <w:r>
        <w:rPr>
          <w:rFonts w:cs="Arial"/>
          <w:b/>
          <w:sz w:val="28"/>
        </w:rPr>
        <w:t>za monitorovací období 2020 - 2021</w:t>
      </w:r>
    </w:p>
    <w:p w:rsidR="005558D0" w:rsidRDefault="005558D0" w:rsidP="005558D0">
      <w:pPr>
        <w:jc w:val="both"/>
        <w:rPr>
          <w:rFonts w:cs="Arial"/>
        </w:rPr>
      </w:pPr>
    </w:p>
    <w:p w:rsidR="005558D0" w:rsidRDefault="005558D0" w:rsidP="005558D0">
      <w:pPr>
        <w:jc w:val="both"/>
        <w:rPr>
          <w:rFonts w:cs="Arial"/>
        </w:rPr>
      </w:pPr>
    </w:p>
    <w:p w:rsidR="005558D0" w:rsidRDefault="005558D0" w:rsidP="005558D0">
      <w:pPr>
        <w:jc w:val="both"/>
        <w:rPr>
          <w:rFonts w:cs="Arial"/>
        </w:rPr>
      </w:pPr>
    </w:p>
    <w:p w:rsidR="005558D0" w:rsidRDefault="005558D0" w:rsidP="005558D0">
      <w:pPr>
        <w:jc w:val="both"/>
        <w:rPr>
          <w:rFonts w:cs="Arial"/>
        </w:rPr>
      </w:pPr>
    </w:p>
    <w:p w:rsidR="005558D0" w:rsidRDefault="005558D0" w:rsidP="005558D0">
      <w:pPr>
        <w:jc w:val="both"/>
        <w:rPr>
          <w:rFonts w:cs="Arial"/>
        </w:rPr>
      </w:pPr>
    </w:p>
    <w:p w:rsidR="005558D0" w:rsidRDefault="005558D0" w:rsidP="005558D0">
      <w:pPr>
        <w:jc w:val="center"/>
        <w:rPr>
          <w:rFonts w:cs="Arial"/>
          <w:b/>
          <w:sz w:val="28"/>
          <w:szCs w:val="28"/>
        </w:rPr>
      </w:pPr>
    </w:p>
    <w:p w:rsidR="005A3D36" w:rsidRDefault="005A3D36" w:rsidP="005558D0">
      <w:pPr>
        <w:jc w:val="center"/>
        <w:rPr>
          <w:rFonts w:cs="Arial"/>
          <w:b/>
          <w:sz w:val="28"/>
          <w:szCs w:val="28"/>
        </w:rPr>
      </w:pPr>
    </w:p>
    <w:p w:rsidR="005A3D36" w:rsidRDefault="005A3D36" w:rsidP="005558D0">
      <w:pPr>
        <w:jc w:val="center"/>
        <w:rPr>
          <w:rFonts w:cs="Arial"/>
          <w:b/>
          <w:sz w:val="28"/>
          <w:szCs w:val="28"/>
        </w:rPr>
      </w:pPr>
    </w:p>
    <w:p w:rsidR="005A3D36" w:rsidRDefault="005A3D36" w:rsidP="005558D0">
      <w:pPr>
        <w:jc w:val="center"/>
        <w:rPr>
          <w:rFonts w:cs="Arial"/>
          <w:b/>
          <w:sz w:val="28"/>
          <w:szCs w:val="28"/>
        </w:rPr>
      </w:pPr>
    </w:p>
    <w:p w:rsidR="005A3D36" w:rsidRDefault="005A3D36" w:rsidP="001C353F">
      <w:pPr>
        <w:rPr>
          <w:rFonts w:cs="Arial"/>
          <w:b/>
          <w:sz w:val="28"/>
          <w:szCs w:val="28"/>
        </w:rPr>
      </w:pPr>
    </w:p>
    <w:p w:rsidR="001C353F" w:rsidRPr="00166B15" w:rsidRDefault="001C353F" w:rsidP="001C353F">
      <w:pPr>
        <w:rPr>
          <w:rFonts w:cs="Arial"/>
          <w:b/>
          <w:sz w:val="28"/>
          <w:szCs w:val="28"/>
        </w:rPr>
      </w:pPr>
    </w:p>
    <w:p w:rsidR="00401241" w:rsidRPr="005A3D36" w:rsidRDefault="005A3D36" w:rsidP="005A3D36">
      <w:pPr>
        <w:spacing w:line="240" w:lineRule="auto"/>
        <w:rPr>
          <w:rFonts w:cs="Arial"/>
          <w:szCs w:val="24"/>
        </w:rPr>
      </w:pPr>
      <w:r w:rsidRPr="005A3D36">
        <w:rPr>
          <w:rFonts w:cs="Arial"/>
          <w:szCs w:val="24"/>
        </w:rPr>
        <w:t xml:space="preserve">Orgán zodpovědný za monitorování: </w:t>
      </w:r>
    </w:p>
    <w:p w:rsidR="005A3D36" w:rsidRPr="005A3D36" w:rsidRDefault="005A3D36" w:rsidP="005A3D36">
      <w:pPr>
        <w:spacing w:line="240" w:lineRule="auto"/>
        <w:rPr>
          <w:rFonts w:cs="Arial"/>
          <w:szCs w:val="24"/>
        </w:rPr>
      </w:pPr>
      <w:r w:rsidRPr="005A3D36">
        <w:rPr>
          <w:rFonts w:cs="Arial"/>
          <w:szCs w:val="24"/>
        </w:rPr>
        <w:t>Ministerstvo vnitra České republiky</w:t>
      </w:r>
    </w:p>
    <w:p w:rsidR="005A3D36" w:rsidRPr="005A3D36" w:rsidRDefault="005A3D36" w:rsidP="005A3D36">
      <w:pPr>
        <w:spacing w:line="240" w:lineRule="auto"/>
        <w:rPr>
          <w:rFonts w:cs="Arial"/>
          <w:szCs w:val="24"/>
        </w:rPr>
      </w:pPr>
      <w:r w:rsidRPr="005A3D36">
        <w:rPr>
          <w:rFonts w:cs="Arial"/>
          <w:szCs w:val="24"/>
        </w:rPr>
        <w:t>Sekce komunikačních a informačních technologií</w:t>
      </w:r>
    </w:p>
    <w:p w:rsidR="005A3D36" w:rsidRPr="005A3D36" w:rsidRDefault="005A3D36" w:rsidP="005A3D36">
      <w:pPr>
        <w:spacing w:line="240" w:lineRule="auto"/>
        <w:rPr>
          <w:rFonts w:cs="Arial"/>
          <w:szCs w:val="24"/>
        </w:rPr>
      </w:pPr>
      <w:r w:rsidRPr="005A3D36">
        <w:rPr>
          <w:rFonts w:cs="Arial"/>
          <w:szCs w:val="24"/>
        </w:rPr>
        <w:t>Odbor eGovernmentu</w:t>
      </w:r>
    </w:p>
    <w:p w:rsidR="005A3D36" w:rsidRPr="005A3D36" w:rsidRDefault="005A3D36" w:rsidP="005A3D36">
      <w:pPr>
        <w:spacing w:line="240" w:lineRule="auto"/>
        <w:rPr>
          <w:rFonts w:cs="Arial"/>
          <w:szCs w:val="24"/>
        </w:rPr>
      </w:pPr>
      <w:r w:rsidRPr="005A3D36">
        <w:rPr>
          <w:rFonts w:cs="Arial"/>
          <w:szCs w:val="24"/>
        </w:rPr>
        <w:t>Kontaktní email: pristupnost@mvcr.cz</w:t>
      </w:r>
    </w:p>
    <w:p w:rsidR="00A30F8A" w:rsidRDefault="00A30F8A" w:rsidP="00A30F8A">
      <w:pPr>
        <w:rPr>
          <w:rFonts w:cs="Arial"/>
          <w:sz w:val="32"/>
          <w:szCs w:val="32"/>
        </w:rPr>
        <w:sectPr w:rsidR="00A30F8A" w:rsidSect="00891D25">
          <w:headerReference w:type="default" r:id="rId8"/>
          <w:footerReference w:type="default" r:id="rId9"/>
          <w:footerReference w:type="first" r:id="rId10"/>
          <w:pgSz w:w="11906" w:h="16838" w:code="9"/>
          <w:pgMar w:top="1928" w:right="1134" w:bottom="1701" w:left="1701" w:header="1985" w:footer="794" w:gutter="0"/>
          <w:pgNumType w:start="0"/>
          <w:cols w:space="708"/>
          <w:docGrid w:linePitch="360"/>
        </w:sectPr>
      </w:pPr>
    </w:p>
    <w:sdt>
      <w:sdtPr>
        <w:rPr>
          <w:rFonts w:asciiTheme="minorHAnsi" w:hAnsiTheme="minorHAnsi"/>
          <w:b/>
          <w:bCs/>
          <w:caps/>
          <w:szCs w:val="24"/>
        </w:rPr>
        <w:id w:val="1021205681"/>
        <w:docPartObj>
          <w:docPartGallery w:val="Table of Contents"/>
          <w:docPartUnique/>
        </w:docPartObj>
      </w:sdtPr>
      <w:sdtEndPr>
        <w:rPr>
          <w:rFonts w:ascii="Arial" w:hAnsi="Arial"/>
          <w:b w:val="0"/>
          <w:bCs w:val="0"/>
          <w:caps w:val="0"/>
        </w:rPr>
      </w:sdtEndPr>
      <w:sdtContent>
        <w:p w:rsidR="005B4615" w:rsidRPr="00891D25" w:rsidRDefault="001C4FE0" w:rsidP="00891D25">
          <w:pPr>
            <w:pStyle w:val="Bezmezer"/>
            <w:rPr>
              <w:color w:val="17365D" w:themeColor="text2" w:themeShade="BF"/>
              <w:sz w:val="28"/>
              <w:szCs w:val="28"/>
            </w:rPr>
          </w:pPr>
          <w:r w:rsidRPr="00891D25">
            <w:rPr>
              <w:b/>
              <w:color w:val="17365D" w:themeColor="text2" w:themeShade="BF"/>
              <w:spacing w:val="120"/>
              <w:sz w:val="28"/>
              <w:szCs w:val="28"/>
            </w:rPr>
            <w:t>OBSAH</w:t>
          </w:r>
        </w:p>
        <w:p w:rsidR="003B7032" w:rsidRPr="00513557" w:rsidRDefault="003B7032" w:rsidP="003B7032">
          <w:pPr>
            <w:rPr>
              <w:szCs w:val="24"/>
              <w:lang w:eastAsia="cs-CZ"/>
            </w:rPr>
          </w:pPr>
        </w:p>
        <w:p w:rsidR="000E6E1D" w:rsidRPr="00891D25" w:rsidRDefault="0084446C">
          <w:pPr>
            <w:pStyle w:val="Obsa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r w:rsidRPr="00513557">
            <w:rPr>
              <w:szCs w:val="24"/>
            </w:rPr>
            <w:fldChar w:fldCharType="begin"/>
          </w:r>
          <w:r w:rsidRPr="00513557">
            <w:rPr>
              <w:szCs w:val="24"/>
            </w:rPr>
            <w:instrText xml:space="preserve"> TOC \o "1-3" \h \z \u </w:instrText>
          </w:r>
          <w:r w:rsidRPr="00513557">
            <w:rPr>
              <w:szCs w:val="24"/>
            </w:rPr>
            <w:fldChar w:fldCharType="separate"/>
          </w:r>
          <w:hyperlink w:anchor="_Toc91067494" w:history="1">
            <w:r w:rsidR="000E6E1D" w:rsidRPr="00891D25">
              <w:rPr>
                <w:rStyle w:val="Hypertextovodkaz"/>
                <w:noProof/>
                <w:sz w:val="22"/>
              </w:rPr>
              <w:t>1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Shrnutí zprávy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_Toc91067494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3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>
          <w:pPr>
            <w:pStyle w:val="Obsa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495" w:history="1">
            <w:r w:rsidR="000E6E1D" w:rsidRPr="00891D25">
              <w:rPr>
                <w:rStyle w:val="Hypertextovodkaz"/>
                <w:noProof/>
                <w:sz w:val="22"/>
              </w:rPr>
              <w:t>2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Popis činností sledování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_Toc91067495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3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497" w:history="1">
            <w:r w:rsidR="000E6E1D" w:rsidRPr="00891D25">
              <w:rPr>
                <w:rStyle w:val="Hypertextovodkaz"/>
                <w:noProof/>
                <w:sz w:val="22"/>
              </w:rPr>
              <w:t>2.1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Všeobecné informace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_Toc91067497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3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499" w:history="1">
            <w:r w:rsidR="000E6E1D" w:rsidRPr="00891D25">
              <w:rPr>
                <w:rStyle w:val="Hypertextovodkaz"/>
                <w:noProof/>
                <w:sz w:val="22"/>
              </w:rPr>
              <w:t>2.2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Metody sledování přístupnosti internetových stránek a mobilních aplikací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_Toc91067499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4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01" w:history="1">
            <w:r w:rsidR="000E6E1D" w:rsidRPr="00891D25">
              <w:rPr>
                <w:rStyle w:val="Hypertextovodkaz"/>
                <w:noProof/>
                <w:sz w:val="22"/>
              </w:rPr>
              <w:t>2.3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Nástroje využívané při kontrole přístupnosti internetových stránek a mobilních aplikací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_Toc91067501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5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03" w:history="1">
            <w:r w:rsidR="000E6E1D" w:rsidRPr="00891D25">
              <w:rPr>
                <w:rStyle w:val="Hypertextovodkaz"/>
                <w:noProof/>
                <w:sz w:val="22"/>
              </w:rPr>
              <w:t>2.4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Popis reprezentativnosti a rozložení vzorku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_Toc91067503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6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05" w:history="1">
            <w:r w:rsidR="000E6E1D" w:rsidRPr="00891D25">
              <w:rPr>
                <w:rStyle w:val="Hypertextovodkaz"/>
                <w:noProof/>
                <w:sz w:val="22"/>
              </w:rPr>
              <w:t>2.5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Složení vzorku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_Toc91067505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8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>
          <w:pPr>
            <w:pStyle w:val="Obsah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07" w:history="1">
            <w:r w:rsidR="000E6E1D" w:rsidRPr="00891D25">
              <w:rPr>
                <w:rStyle w:val="Hypertextovodkaz"/>
                <w:noProof/>
                <w:sz w:val="22"/>
              </w:rPr>
              <w:t>3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Podrobné výsledky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_Toc91067507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10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09" w:history="1">
            <w:r w:rsidR="000E6E1D" w:rsidRPr="00891D25">
              <w:rPr>
                <w:rStyle w:val="Hypertextovodkaz"/>
                <w:noProof/>
                <w:sz w:val="22"/>
              </w:rPr>
              <w:t>3.1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Výsledky sledování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_Toc91067509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10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11" w:history="1">
            <w:r w:rsidR="000E6E1D" w:rsidRPr="00891D25">
              <w:rPr>
                <w:rStyle w:val="Hypertextovodkaz"/>
                <w:noProof/>
                <w:sz w:val="22"/>
              </w:rPr>
              <w:t>3.2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Vhodnost použitých metod kontroly k ověření souladu s požadavky  na přístupnost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_Toc91067511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12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 w:rsidP="000E6E1D">
          <w:pPr>
            <w:pStyle w:val="Obsah2"/>
            <w:tabs>
              <w:tab w:val="left" w:pos="993"/>
              <w:tab w:val="right" w:leader="dot" w:pos="9061"/>
            </w:tabs>
            <w:ind w:left="993" w:hanging="426"/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15" w:history="1">
            <w:r w:rsidR="000E6E1D" w:rsidRPr="00891D25">
              <w:rPr>
                <w:rStyle w:val="Hypertextovodkaz"/>
                <w:noProof/>
                <w:sz w:val="22"/>
              </w:rPr>
              <w:t>3.3</w:t>
            </w:r>
            <w:r w:rsidR="000E6E1D" w:rsidRPr="00891D25">
              <w:rPr>
                <w:rFonts w:asciiTheme="minorHAnsi" w:eastAsiaTheme="minorEastAsia" w:hAnsiTheme="minorHAnsi"/>
                <w:noProof/>
                <w:sz w:val="20"/>
                <w:lang w:eastAsia="cs-CZ"/>
              </w:rPr>
              <w:tab/>
            </w:r>
            <w:r w:rsidR="000E6E1D" w:rsidRPr="00891D25">
              <w:rPr>
                <w:rStyle w:val="Hypertextovodkaz"/>
                <w:noProof/>
                <w:sz w:val="22"/>
              </w:rPr>
              <w:t>Spolupráce s povinnými subjekty na základě zpětné vazby z provedených kontrol přístupnosti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_Toc91067515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18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Pr="00891D25" w:rsidRDefault="00B3754B">
          <w:pPr>
            <w:pStyle w:val="Obsah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0"/>
              <w:lang w:eastAsia="cs-CZ"/>
            </w:rPr>
          </w:pPr>
          <w:hyperlink w:anchor="_Toc91067516" w:history="1">
            <w:r w:rsidR="000E6E1D" w:rsidRPr="00891D25">
              <w:rPr>
                <w:rStyle w:val="Hypertextovodkaz"/>
                <w:rFonts w:cs="Arial"/>
                <w:noProof/>
                <w:sz w:val="22"/>
              </w:rPr>
              <w:t>Seznam tabulek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_Toc91067516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19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0E6E1D" w:rsidRDefault="00B3754B">
          <w:pPr>
            <w:pStyle w:val="Obsah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91067517" w:history="1">
            <w:r w:rsidR="000E6E1D" w:rsidRPr="00891D25">
              <w:rPr>
                <w:rStyle w:val="Hypertextovodkaz"/>
                <w:rFonts w:cs="Arial"/>
                <w:noProof/>
                <w:sz w:val="22"/>
              </w:rPr>
              <w:t>Seznam zkratek</w:t>
            </w:r>
            <w:r w:rsidR="000E6E1D" w:rsidRPr="00891D25">
              <w:rPr>
                <w:noProof/>
                <w:webHidden/>
                <w:sz w:val="22"/>
              </w:rPr>
              <w:tab/>
            </w:r>
            <w:r w:rsidR="000E6E1D" w:rsidRPr="00891D25">
              <w:rPr>
                <w:noProof/>
                <w:webHidden/>
                <w:sz w:val="22"/>
              </w:rPr>
              <w:fldChar w:fldCharType="begin"/>
            </w:r>
            <w:r w:rsidR="000E6E1D" w:rsidRPr="00891D25">
              <w:rPr>
                <w:noProof/>
                <w:webHidden/>
                <w:sz w:val="22"/>
              </w:rPr>
              <w:instrText xml:space="preserve"> PAGEREF _Toc91067517 \h </w:instrText>
            </w:r>
            <w:r w:rsidR="000E6E1D" w:rsidRPr="00891D25">
              <w:rPr>
                <w:noProof/>
                <w:webHidden/>
                <w:sz w:val="22"/>
              </w:rPr>
            </w:r>
            <w:r w:rsidR="000E6E1D" w:rsidRPr="00891D25">
              <w:rPr>
                <w:noProof/>
                <w:webHidden/>
                <w:sz w:val="22"/>
              </w:rPr>
              <w:fldChar w:fldCharType="separate"/>
            </w:r>
            <w:r w:rsidR="00025FCE">
              <w:rPr>
                <w:noProof/>
                <w:webHidden/>
                <w:sz w:val="22"/>
              </w:rPr>
              <w:t>19</w:t>
            </w:r>
            <w:r w:rsidR="000E6E1D" w:rsidRPr="00891D25">
              <w:rPr>
                <w:noProof/>
                <w:webHidden/>
                <w:sz w:val="22"/>
              </w:rPr>
              <w:fldChar w:fldCharType="end"/>
            </w:r>
          </w:hyperlink>
        </w:p>
        <w:p w:rsidR="005558D0" w:rsidRPr="005B4615" w:rsidRDefault="0084446C" w:rsidP="00401241">
          <w:pPr>
            <w:rPr>
              <w:b/>
              <w:bCs/>
              <w:szCs w:val="24"/>
            </w:rPr>
            <w:sectPr w:rsidR="005558D0" w:rsidRPr="005B4615" w:rsidSect="00891D25">
              <w:footerReference w:type="default" r:id="rId11"/>
              <w:pgSz w:w="11906" w:h="16838" w:code="9"/>
              <w:pgMar w:top="1928" w:right="1134" w:bottom="1701" w:left="1701" w:header="1985" w:footer="794" w:gutter="0"/>
              <w:pgNumType w:start="1"/>
              <w:cols w:space="708"/>
              <w:docGrid w:linePitch="360"/>
            </w:sectPr>
          </w:pPr>
          <w:r w:rsidRPr="00513557">
            <w:rPr>
              <w:b/>
              <w:bCs/>
              <w:szCs w:val="24"/>
            </w:rPr>
            <w:fldChar w:fldCharType="end"/>
          </w:r>
        </w:p>
      </w:sdtContent>
    </w:sdt>
    <w:p w:rsidR="005558D0" w:rsidRPr="003B7032" w:rsidRDefault="005558D0" w:rsidP="005558D0">
      <w:pPr>
        <w:rPr>
          <w:color w:val="002060"/>
          <w:sz w:val="2"/>
        </w:rPr>
      </w:pPr>
    </w:p>
    <w:p w:rsidR="005558D0" w:rsidRPr="00891D25" w:rsidRDefault="005558D0" w:rsidP="00891D25">
      <w:pPr>
        <w:pStyle w:val="Nadpis1"/>
      </w:pPr>
      <w:bookmarkStart w:id="0" w:name="_Toc91065677"/>
      <w:bookmarkStart w:id="1" w:name="_Toc91065795"/>
      <w:bookmarkStart w:id="2" w:name="_Toc91065868"/>
      <w:bookmarkStart w:id="3" w:name="_Toc91066029"/>
      <w:bookmarkStart w:id="4" w:name="_Toc91067476"/>
      <w:bookmarkStart w:id="5" w:name="_Toc91065678"/>
      <w:bookmarkStart w:id="6" w:name="_Toc91065796"/>
      <w:bookmarkStart w:id="7" w:name="_Toc91065869"/>
      <w:bookmarkStart w:id="8" w:name="_Toc91066030"/>
      <w:bookmarkStart w:id="9" w:name="_Toc91067477"/>
      <w:bookmarkStart w:id="10" w:name="_Toc91065690"/>
      <w:bookmarkStart w:id="11" w:name="_Toc91065808"/>
      <w:bookmarkStart w:id="12" w:name="_Toc91065881"/>
      <w:bookmarkStart w:id="13" w:name="_Toc91066042"/>
      <w:bookmarkStart w:id="14" w:name="_Toc91067489"/>
      <w:bookmarkStart w:id="15" w:name="_Toc91065691"/>
      <w:bookmarkStart w:id="16" w:name="_Toc91065809"/>
      <w:bookmarkStart w:id="17" w:name="_Toc91065882"/>
      <w:bookmarkStart w:id="18" w:name="_Toc91066043"/>
      <w:bookmarkStart w:id="19" w:name="_Toc91067490"/>
      <w:bookmarkStart w:id="20" w:name="_Toc91065692"/>
      <w:bookmarkStart w:id="21" w:name="_Toc91065810"/>
      <w:bookmarkStart w:id="22" w:name="_Toc91065883"/>
      <w:bookmarkStart w:id="23" w:name="_Toc91066044"/>
      <w:bookmarkStart w:id="24" w:name="_Toc91067491"/>
      <w:bookmarkStart w:id="25" w:name="_Toc91065693"/>
      <w:bookmarkStart w:id="26" w:name="_Toc91065811"/>
      <w:bookmarkStart w:id="27" w:name="_Toc91065884"/>
      <w:bookmarkStart w:id="28" w:name="_Toc91066045"/>
      <w:bookmarkStart w:id="29" w:name="_Toc91067492"/>
      <w:bookmarkStart w:id="30" w:name="_Toc91065694"/>
      <w:bookmarkStart w:id="31" w:name="_Toc91065812"/>
      <w:bookmarkStart w:id="32" w:name="_Toc91065885"/>
      <w:bookmarkStart w:id="33" w:name="_Toc91066046"/>
      <w:bookmarkStart w:id="34" w:name="_Toc91067493"/>
      <w:bookmarkStart w:id="35" w:name="_Toc9106749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91D25">
        <w:t>Shrnutí zprávy</w:t>
      </w:r>
      <w:bookmarkEnd w:id="35"/>
    </w:p>
    <w:p w:rsidR="005558D0" w:rsidRDefault="005558D0" w:rsidP="00E26559">
      <w:pPr>
        <w:spacing w:line="360" w:lineRule="auto"/>
        <w:ind w:firstLine="360"/>
        <w:jc w:val="both"/>
        <w:rPr>
          <w:rFonts w:cs="Arial"/>
          <w:szCs w:val="24"/>
        </w:rPr>
      </w:pPr>
      <w:r w:rsidRPr="009E46A7">
        <w:rPr>
          <w:rFonts w:cs="Arial"/>
          <w:szCs w:val="24"/>
        </w:rPr>
        <w:t>Ministerstvo vnitra vypracovalo zprávu o výsledcích kontrol přístupnosti internetových stránek a mobilních aplikací za první sledované období, tj. za rok 2020</w:t>
      </w:r>
      <w:r w:rsidR="00453213">
        <w:rPr>
          <w:rFonts w:cs="Arial"/>
          <w:szCs w:val="24"/>
        </w:rPr>
        <w:t>–</w:t>
      </w:r>
      <w:r w:rsidRPr="009E46A7">
        <w:rPr>
          <w:rFonts w:cs="Arial"/>
          <w:szCs w:val="24"/>
        </w:rPr>
        <w:t xml:space="preserve">2021 (dále jen „Zpráva“) v souladu se směrnicí Evropského parlamentu a Rady (EU) 2016/2102 ze dne 26. října 2016 o přístupnosti internetových stránek a mobilních aplikací subjektů veřejného sektoru. Zpráva obsahuje souhrnné zhodnocení výsledků kontrol zajišťovaných odborem eGovernmentu Ministerstva vnitra. </w:t>
      </w:r>
    </w:p>
    <w:p w:rsidR="005558D0" w:rsidRDefault="005558D0" w:rsidP="00891D25">
      <w:pPr>
        <w:spacing w:line="360" w:lineRule="auto"/>
        <w:ind w:firstLine="360"/>
        <w:jc w:val="both"/>
      </w:pPr>
      <w:r w:rsidRPr="009E46A7">
        <w:rPr>
          <w:rFonts w:cs="Arial"/>
          <w:szCs w:val="24"/>
        </w:rPr>
        <w:t xml:space="preserve">Při zpracování zprávy se Ministerstvo vnitra řídilo Prováděcím rozhodnutím Komise (EU) 2018/1524 ze dne 11. října 2018, kterým </w:t>
      </w:r>
      <w:r>
        <w:rPr>
          <w:rFonts w:cs="Arial"/>
          <w:szCs w:val="24"/>
        </w:rPr>
        <w:t>se stanoví metodika sledování a </w:t>
      </w:r>
      <w:r w:rsidRPr="009E46A7">
        <w:rPr>
          <w:rFonts w:cs="Arial"/>
          <w:szCs w:val="24"/>
        </w:rPr>
        <w:t>ustanovení pro podávání zpráv členskýc</w:t>
      </w:r>
      <w:r>
        <w:rPr>
          <w:rFonts w:cs="Arial"/>
          <w:szCs w:val="24"/>
        </w:rPr>
        <w:t>h států v souladu se směrnicí o </w:t>
      </w:r>
      <w:r w:rsidRPr="009E46A7">
        <w:rPr>
          <w:rFonts w:cs="Arial"/>
          <w:szCs w:val="24"/>
        </w:rPr>
        <w:t xml:space="preserve">přístupnosti.  Součástí zprávy jsou kromě samotných </w:t>
      </w:r>
      <w:r w:rsidR="008F4507">
        <w:rPr>
          <w:rFonts w:cs="Arial"/>
          <w:szCs w:val="24"/>
        </w:rPr>
        <w:t>zjištění také </w:t>
      </w:r>
      <w:r>
        <w:rPr>
          <w:rFonts w:cs="Arial"/>
          <w:szCs w:val="24"/>
        </w:rPr>
        <w:t>informace o </w:t>
      </w:r>
      <w:r w:rsidRPr="009E46A7">
        <w:rPr>
          <w:rFonts w:cs="Arial"/>
          <w:szCs w:val="24"/>
        </w:rPr>
        <w:t>období, ve kterém sledování proběhlo, o složení vzorku povinných  subjektů, jejichž internetové stránky a mobilní aplikace byly posuzovány, o korelaci posuzovaných požadavků na přístupnost s normami, technickými specifikacemi a nást</w:t>
      </w:r>
      <w:r w:rsidR="008F4507">
        <w:rPr>
          <w:rFonts w:cs="Arial"/>
          <w:szCs w:val="24"/>
        </w:rPr>
        <w:t>roji používanými ke sledování, </w:t>
      </w:r>
      <w:r w:rsidRPr="009E46A7">
        <w:rPr>
          <w:rFonts w:cs="Arial"/>
          <w:szCs w:val="24"/>
        </w:rPr>
        <w:t>a o procesu spolupráce s povinnými subjekty na základě zpětné vazby z provedených kontrol přístupnosti</w:t>
      </w:r>
      <w:r w:rsidR="00FF74B3">
        <w:rPr>
          <w:rFonts w:cs="Arial"/>
          <w:szCs w:val="24"/>
        </w:rPr>
        <w:t>.</w:t>
      </w:r>
    </w:p>
    <w:p w:rsidR="005558D0" w:rsidRPr="00891D25" w:rsidRDefault="00C2131A" w:rsidP="00891D25">
      <w:pPr>
        <w:pStyle w:val="Nadpis1"/>
      </w:pPr>
      <w:bookmarkStart w:id="36" w:name="_Toc91067495"/>
      <w:r w:rsidRPr="00891D25">
        <w:t xml:space="preserve">Popis </w:t>
      </w:r>
      <w:r w:rsidR="005558D0" w:rsidRPr="00891D25">
        <w:t>činnost</w:t>
      </w:r>
      <w:r w:rsidRPr="00891D25">
        <w:t>í sledování</w:t>
      </w:r>
      <w:bookmarkEnd w:id="36"/>
    </w:p>
    <w:p w:rsidR="005A3D36" w:rsidRPr="00891D25" w:rsidRDefault="005A3D36" w:rsidP="00891D25">
      <w:pPr>
        <w:pStyle w:val="Nadpis2"/>
      </w:pPr>
      <w:bookmarkStart w:id="37" w:name="_Toc91065697"/>
      <w:bookmarkStart w:id="38" w:name="_Toc91065815"/>
      <w:bookmarkStart w:id="39" w:name="_Toc91065888"/>
      <w:bookmarkStart w:id="40" w:name="_Toc91066049"/>
      <w:bookmarkStart w:id="41" w:name="_Toc91067496"/>
      <w:bookmarkStart w:id="42" w:name="_Toc91067497"/>
      <w:bookmarkEnd w:id="37"/>
      <w:bookmarkEnd w:id="38"/>
      <w:bookmarkEnd w:id="39"/>
      <w:bookmarkEnd w:id="40"/>
      <w:bookmarkEnd w:id="41"/>
      <w:r w:rsidRPr="00891D25">
        <w:t>Všeobecné informace</w:t>
      </w:r>
      <w:bookmarkEnd w:id="42"/>
    </w:p>
    <w:p w:rsidR="00A135CE" w:rsidRDefault="00924939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Kontroly přístupnosti internetových stránek a mobilních aplikací proběhly</w:t>
      </w:r>
      <w:r w:rsidR="00A135CE">
        <w:rPr>
          <w:rFonts w:cs="Arial"/>
          <w:szCs w:val="24"/>
        </w:rPr>
        <w:t xml:space="preserve"> </w:t>
      </w:r>
      <w:r w:rsidR="005A3D36">
        <w:rPr>
          <w:rFonts w:cs="Arial"/>
          <w:szCs w:val="24"/>
        </w:rPr>
        <w:t xml:space="preserve">v období </w:t>
      </w:r>
      <w:r w:rsidR="00A135CE">
        <w:rPr>
          <w:rFonts w:cs="Arial"/>
          <w:szCs w:val="24"/>
        </w:rPr>
        <w:t>od 1. </w:t>
      </w:r>
      <w:r w:rsidR="005558D0" w:rsidRPr="009E46A7">
        <w:rPr>
          <w:rFonts w:cs="Arial"/>
          <w:szCs w:val="24"/>
        </w:rPr>
        <w:t>ledna 2020 do 22. prosince 2021</w:t>
      </w:r>
      <w:r w:rsidR="00FF74B3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Podle článku 8 směrnice o přístupnosti je nutné do 23. prosince 2021 předložit Evropské komisi zprávu za první monitorovací období, tj. za rok 2020</w:t>
      </w:r>
      <w:r w:rsidR="00453213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2021. </w:t>
      </w:r>
    </w:p>
    <w:p w:rsidR="000168CF" w:rsidRDefault="00924939" w:rsidP="00E26559">
      <w:pPr>
        <w:spacing w:line="360" w:lineRule="auto"/>
        <w:ind w:firstLine="360"/>
        <w:jc w:val="both"/>
        <w:rPr>
          <w:rFonts w:cs="Arial"/>
          <w:szCs w:val="24"/>
        </w:rPr>
      </w:pPr>
      <w:r w:rsidRPr="00A135CE">
        <w:rPr>
          <w:rFonts w:cs="Arial"/>
          <w:szCs w:val="24"/>
        </w:rPr>
        <w:t xml:space="preserve">Orgánem odpovědným za </w:t>
      </w:r>
      <w:r w:rsidR="00DF278E">
        <w:rPr>
          <w:rFonts w:cs="Arial"/>
          <w:szCs w:val="24"/>
        </w:rPr>
        <w:t xml:space="preserve">kontrolu </w:t>
      </w:r>
      <w:r w:rsidRPr="00A135CE">
        <w:rPr>
          <w:rFonts w:cs="Arial"/>
          <w:szCs w:val="24"/>
        </w:rPr>
        <w:t>přístupnosti internetových stránek a mobilních aplikací v České republice je Ministerstvo vnitra, konkrétně odbor eGovernmentu.</w:t>
      </w:r>
      <w:r w:rsidR="00A135CE">
        <w:rPr>
          <w:rFonts w:cs="Arial"/>
          <w:szCs w:val="24"/>
        </w:rPr>
        <w:t xml:space="preserve"> </w:t>
      </w:r>
      <w:r w:rsidR="0015335E">
        <w:rPr>
          <w:rFonts w:cs="Arial"/>
          <w:szCs w:val="24"/>
        </w:rPr>
        <w:t xml:space="preserve">Zástupci Ministerstva vnitra jsou </w:t>
      </w:r>
      <w:r w:rsidR="00870FB6">
        <w:rPr>
          <w:rFonts w:cs="Arial"/>
          <w:szCs w:val="24"/>
        </w:rPr>
        <w:t>jedním z členů</w:t>
      </w:r>
      <w:r w:rsidR="0015335E">
        <w:rPr>
          <w:rFonts w:cs="Arial"/>
          <w:szCs w:val="24"/>
        </w:rPr>
        <w:t xml:space="preserve"> Odborné skupiny pro přístupnost </w:t>
      </w:r>
      <w:r w:rsidR="0015335E">
        <w:rPr>
          <w:rFonts w:cs="Arial"/>
          <w:szCs w:val="24"/>
        </w:rPr>
        <w:lastRenderedPageBreak/>
        <w:t xml:space="preserve">veřejné </w:t>
      </w:r>
      <w:r w:rsidR="00032633">
        <w:rPr>
          <w:rFonts w:cs="Arial"/>
          <w:szCs w:val="24"/>
        </w:rPr>
        <w:t>správy a veřejných služeb</w:t>
      </w:r>
      <w:r w:rsidR="0015335E">
        <w:rPr>
          <w:rFonts w:cs="Arial"/>
          <w:szCs w:val="24"/>
        </w:rPr>
        <w:t xml:space="preserve">, kterou zřídil </w:t>
      </w:r>
      <w:hyperlink r:id="rId12" w:history="1">
        <w:r w:rsidR="0015335E" w:rsidRPr="001C353F">
          <w:rPr>
            <w:rStyle w:val="Hypertextovodkaz"/>
            <w:rFonts w:cs="Arial"/>
            <w:szCs w:val="24"/>
          </w:rPr>
          <w:t>Vládní výbor pro osoby se zdravotním postižením</w:t>
        </w:r>
      </w:hyperlink>
      <w:r w:rsidR="0015335E">
        <w:rPr>
          <w:rFonts w:cs="Arial"/>
          <w:szCs w:val="24"/>
        </w:rPr>
        <w:t>.</w:t>
      </w:r>
      <w:r w:rsidR="0022417D">
        <w:rPr>
          <w:rFonts w:cs="Arial"/>
          <w:szCs w:val="24"/>
        </w:rPr>
        <w:t xml:space="preserve"> </w:t>
      </w:r>
    </w:p>
    <w:p w:rsidR="000168CF" w:rsidRDefault="000168CF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Ministerstvo vnitra je gestorem zákona č. 99/2019 Sb., o přístupnosti internetových stránek a mobilních aplikací a o změně zákona č. 365/2000 Sb., o informačních systémech veřejné správy a o změně některých dalších zákonů ve znění pozdějších předpisů (dále jen „zákon o přístupnosti“), jehož účelem je transponovat směrnici Evropského parlamentu a Rady (EU) 2016/2102 ze dne 26. října 2016 o přístupnosti internetových stránek a mobilních aplikací subjektů veřejného sektoru (dále jen „směrnice“) do českého právního řádu.</w:t>
      </w:r>
    </w:p>
    <w:p w:rsidR="00DF278E" w:rsidRDefault="00A135CE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Ministerstvo vnitra připravilo Metodický pokyn k přístupnosti, ve kterém jsou popsány obecné požadavky na přístupnost internetových stránek a mobilních aplikací, a to včetně požadavků harmon</w:t>
      </w:r>
      <w:r w:rsidR="000168CF">
        <w:rPr>
          <w:rFonts w:cs="Arial"/>
          <w:szCs w:val="24"/>
        </w:rPr>
        <w:t>izované normy EN 301 549.</w:t>
      </w:r>
      <w:r>
        <w:rPr>
          <w:rFonts w:cs="Arial"/>
          <w:szCs w:val="24"/>
        </w:rPr>
        <w:t xml:space="preserve"> Pokyn orientuje uživatele ve struktuře metodiky WCAG </w:t>
      </w:r>
      <w:r w:rsidR="000168CF">
        <w:rPr>
          <w:rFonts w:cs="Arial"/>
          <w:szCs w:val="24"/>
        </w:rPr>
        <w:t xml:space="preserve">2.1 (Web Content Accessibility Guidelines) </w:t>
      </w:r>
      <w:r>
        <w:rPr>
          <w:rFonts w:cs="Arial"/>
          <w:szCs w:val="24"/>
        </w:rPr>
        <w:t xml:space="preserve">a především prezentuje propojení pravidel s jejich kritérii úspěšnosti/přístupnosti. </w:t>
      </w:r>
      <w:r w:rsidR="000168CF">
        <w:rPr>
          <w:rFonts w:cs="Arial"/>
          <w:szCs w:val="24"/>
        </w:rPr>
        <w:t xml:space="preserve">Internetové stránky a mobilní aplikace subjektů veřejné správy musí být pro své uživatele vnímatelné, ovladatelné, srozumitelné a stabilní. </w:t>
      </w:r>
      <w:r>
        <w:rPr>
          <w:rFonts w:cs="Arial"/>
          <w:szCs w:val="24"/>
        </w:rPr>
        <w:t xml:space="preserve">Součástí </w:t>
      </w:r>
      <w:r w:rsidR="000168CF">
        <w:rPr>
          <w:rFonts w:cs="Arial"/>
          <w:szCs w:val="24"/>
        </w:rPr>
        <w:t xml:space="preserve">metodiky </w:t>
      </w:r>
      <w:r>
        <w:rPr>
          <w:rFonts w:cs="Arial"/>
          <w:szCs w:val="24"/>
        </w:rPr>
        <w:t>je také vzor P</w:t>
      </w:r>
      <w:r w:rsidR="000168CF">
        <w:rPr>
          <w:rFonts w:cs="Arial"/>
          <w:szCs w:val="24"/>
        </w:rPr>
        <w:t xml:space="preserve">rohlášení o přístupnosti. </w:t>
      </w:r>
      <w:r w:rsidR="00DF278E">
        <w:rPr>
          <w:rFonts w:cs="Arial"/>
          <w:szCs w:val="24"/>
        </w:rPr>
        <w:t>P</w:t>
      </w:r>
      <w:r w:rsidR="000168CF">
        <w:rPr>
          <w:rFonts w:cs="Arial"/>
          <w:szCs w:val="24"/>
        </w:rPr>
        <w:t>ovinný subjekt</w:t>
      </w:r>
      <w:r w:rsidR="00DF278E">
        <w:rPr>
          <w:rFonts w:cs="Arial"/>
          <w:szCs w:val="24"/>
        </w:rPr>
        <w:t xml:space="preserve"> musí</w:t>
      </w:r>
      <w:r w:rsidR="000168CF">
        <w:rPr>
          <w:rFonts w:cs="Arial"/>
          <w:szCs w:val="24"/>
        </w:rPr>
        <w:t xml:space="preserve"> dle § 8 zákona o přístupnosti z</w:t>
      </w:r>
      <w:r>
        <w:rPr>
          <w:rFonts w:cs="Arial"/>
          <w:szCs w:val="24"/>
        </w:rPr>
        <w:t>veřejnit</w:t>
      </w:r>
      <w:r w:rsidR="000168CF">
        <w:rPr>
          <w:rFonts w:cs="Arial"/>
          <w:szCs w:val="24"/>
        </w:rPr>
        <w:t xml:space="preserve"> v přístupném formátu a aktualizovat</w:t>
      </w:r>
      <w:r>
        <w:rPr>
          <w:rFonts w:cs="Arial"/>
          <w:szCs w:val="24"/>
        </w:rPr>
        <w:t xml:space="preserve"> </w:t>
      </w:r>
      <w:r w:rsidR="00DF278E">
        <w:rPr>
          <w:rFonts w:cs="Arial"/>
          <w:szCs w:val="24"/>
        </w:rPr>
        <w:t xml:space="preserve">prohlášení o přístupnosti týkající se souladu jeho internetových stránek a mobilních aplikací s požadavky na ně kladenými. </w:t>
      </w:r>
    </w:p>
    <w:p w:rsidR="00C1563B" w:rsidRDefault="00C1563B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Metodický pokyn je zveřejněn na stránkách Ministerstva vnitra v sekci </w:t>
      </w:r>
      <w:hyperlink r:id="rId13" w:history="1">
        <w:r w:rsidRPr="00F63870">
          <w:rPr>
            <w:rStyle w:val="Hypertextovodkaz"/>
            <w:rFonts w:cs="Arial"/>
            <w:szCs w:val="24"/>
          </w:rPr>
          <w:t>Přístupnost internetových stránek a mobilních aplikací</w:t>
        </w:r>
      </w:hyperlink>
      <w:r>
        <w:rPr>
          <w:rFonts w:cs="Arial"/>
          <w:szCs w:val="24"/>
        </w:rPr>
        <w:t>.</w:t>
      </w:r>
    </w:p>
    <w:p w:rsidR="00C1563B" w:rsidRPr="00891D25" w:rsidRDefault="00C1563B" w:rsidP="00891D25">
      <w:pPr>
        <w:pStyle w:val="Nadpis2"/>
      </w:pPr>
      <w:bookmarkStart w:id="43" w:name="_Toc91065699"/>
      <w:bookmarkStart w:id="44" w:name="_Toc91065817"/>
      <w:bookmarkStart w:id="45" w:name="_Toc91065890"/>
      <w:bookmarkStart w:id="46" w:name="_Toc91066051"/>
      <w:bookmarkStart w:id="47" w:name="_Toc91067498"/>
      <w:bookmarkStart w:id="48" w:name="_Toc91067499"/>
      <w:bookmarkEnd w:id="43"/>
      <w:bookmarkEnd w:id="44"/>
      <w:bookmarkEnd w:id="45"/>
      <w:bookmarkEnd w:id="46"/>
      <w:bookmarkEnd w:id="47"/>
      <w:r w:rsidRPr="00891D25">
        <w:t>Metody sledování přístupnosti internetových stránek a mobilních aplikací</w:t>
      </w:r>
      <w:bookmarkEnd w:id="48"/>
    </w:p>
    <w:p w:rsidR="00DF278E" w:rsidRDefault="00DF278E" w:rsidP="00E26559">
      <w:pPr>
        <w:spacing w:line="360" w:lineRule="auto"/>
        <w:ind w:firstLine="360"/>
        <w:jc w:val="both"/>
        <w:rPr>
          <w:rFonts w:cs="Arial"/>
          <w:szCs w:val="24"/>
        </w:rPr>
      </w:pPr>
      <w:r w:rsidRPr="00DF278E">
        <w:rPr>
          <w:rFonts w:cs="Arial"/>
          <w:szCs w:val="24"/>
        </w:rPr>
        <w:t xml:space="preserve">V rámci kontrol </w:t>
      </w:r>
      <w:r w:rsidR="00C1563B">
        <w:rPr>
          <w:rFonts w:cs="Arial"/>
          <w:szCs w:val="24"/>
        </w:rPr>
        <w:t xml:space="preserve">přístupnosti </w:t>
      </w:r>
      <w:r w:rsidRPr="00DF278E">
        <w:rPr>
          <w:rFonts w:cs="Arial"/>
          <w:szCs w:val="24"/>
        </w:rPr>
        <w:t>byly využity dva základní modely k ověřování přístupnosti, a to zjednodušené a důkladné sledování. Oba modely v</w:t>
      </w:r>
      <w:r>
        <w:rPr>
          <w:rFonts w:cs="Arial"/>
          <w:szCs w:val="24"/>
        </w:rPr>
        <w:t>ycházejí z pravidel, kritérií a </w:t>
      </w:r>
      <w:r w:rsidRPr="00DF278E">
        <w:rPr>
          <w:rFonts w:cs="Arial"/>
          <w:szCs w:val="24"/>
        </w:rPr>
        <w:t xml:space="preserve">specifikací WCAG 2.1 na úrovni A-AA. </w:t>
      </w:r>
    </w:p>
    <w:p w:rsidR="007378C2" w:rsidRDefault="008511A0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Metoda důkladného sledování byla využita především k podrobnému ověření, zda internetové stránky a mobilní aplikace splňují všechny požadavky zakotvené v normách a technických specifikacích uvedených v článku 6 směrnice (EU) </w:t>
      </w:r>
      <w:r>
        <w:rPr>
          <w:rFonts w:cs="Arial"/>
          <w:szCs w:val="24"/>
        </w:rPr>
        <w:lastRenderedPageBreak/>
        <w:t xml:space="preserve">2016/2102. </w:t>
      </w:r>
      <w:r w:rsidR="00A365B2">
        <w:rPr>
          <w:rFonts w:cs="Arial"/>
          <w:szCs w:val="24"/>
        </w:rPr>
        <w:t xml:space="preserve">Metoda důkladného sledování hodnotí </w:t>
      </w:r>
      <w:r w:rsidR="00C1563B">
        <w:rPr>
          <w:rFonts w:cs="Arial"/>
          <w:szCs w:val="24"/>
        </w:rPr>
        <w:t>zejména</w:t>
      </w:r>
      <w:r w:rsidR="000B33DC">
        <w:rPr>
          <w:rFonts w:cs="Arial"/>
          <w:szCs w:val="24"/>
        </w:rPr>
        <w:t xml:space="preserve"> </w:t>
      </w:r>
      <w:r w:rsidR="00A365B2">
        <w:rPr>
          <w:rFonts w:cs="Arial"/>
          <w:szCs w:val="24"/>
        </w:rPr>
        <w:t>interakci s formuláři, ovládacími prvky a dialogovými okny, potvrzení při vkládání údajů, chybová hlášení a případně jinou zpětnou vazbu vyplývající z interakce uživatele, a také chování internetové stránky nebo mobilní aplikace při volbě různých nastavení nebo preferencí.</w:t>
      </w:r>
    </w:p>
    <w:p w:rsidR="008511A0" w:rsidRDefault="008511A0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Metoda zjednodušeného sledování zahrnuje testy týkající se každého z požadavků vnímatelnosti, ovladatelnosti, srozumitelnosti a stability uvedených v článku </w:t>
      </w:r>
      <w:r w:rsidR="00A365B2">
        <w:rPr>
          <w:rFonts w:cs="Arial"/>
          <w:szCs w:val="24"/>
        </w:rPr>
        <w:t>4 </w:t>
      </w:r>
      <w:r>
        <w:rPr>
          <w:rFonts w:cs="Arial"/>
          <w:szCs w:val="24"/>
        </w:rPr>
        <w:t>směrnice (EU) 2016/2102. Těmito testy se u internetových stránek zjišťuje nesoulad</w:t>
      </w:r>
      <w:r w:rsidR="00C1563B">
        <w:rPr>
          <w:rFonts w:cs="Arial"/>
          <w:szCs w:val="24"/>
        </w:rPr>
        <w:t xml:space="preserve"> s těmito požadavky</w:t>
      </w:r>
      <w:r>
        <w:rPr>
          <w:rFonts w:cs="Arial"/>
          <w:szCs w:val="24"/>
        </w:rPr>
        <w:t>. Cílem zjednodušeného sledován</w:t>
      </w:r>
      <w:r w:rsidR="00C1563B">
        <w:rPr>
          <w:rFonts w:cs="Arial"/>
          <w:szCs w:val="24"/>
        </w:rPr>
        <w:t>í je v co nejvyšší možné míře a nakolik je to rozumně m</w:t>
      </w:r>
      <w:r>
        <w:rPr>
          <w:rFonts w:cs="Arial"/>
          <w:szCs w:val="24"/>
        </w:rPr>
        <w:t xml:space="preserve">ožné </w:t>
      </w:r>
      <w:r w:rsidR="00A365B2">
        <w:rPr>
          <w:rFonts w:cs="Arial"/>
          <w:szCs w:val="24"/>
        </w:rPr>
        <w:t xml:space="preserve">za použití automatizovaných testů </w:t>
      </w:r>
      <w:r w:rsidR="00C1563B">
        <w:rPr>
          <w:rFonts w:cs="Arial"/>
          <w:szCs w:val="24"/>
        </w:rPr>
        <w:t>posoudit soulad internetových stránek z hlediska těchto potřeb</w:t>
      </w:r>
      <w:r w:rsidR="00A365B2">
        <w:rPr>
          <w:rFonts w:cs="Arial"/>
          <w:szCs w:val="24"/>
        </w:rPr>
        <w:t xml:space="preserve"> uživatelů v oblasti přístupnosti: 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používaní nevidomými osobami;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osobami se zhoršeným zrakem;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osobami, které nevnímají barvy;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neslyšícími;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osobami s poruchami sluchu;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osobami bez hlasové schopnosti;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používání osobami s omezenou motorikou nebo silou;</w:t>
      </w:r>
    </w:p>
    <w:p w:rsidR="00A365B2" w:rsidRPr="00814259" w:rsidRDefault="00A365B2" w:rsidP="00E26559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potřeba minimalizovat spouštění mechanismy záchvatů fotosenzitivní epilepsie;</w:t>
      </w:r>
    </w:p>
    <w:p w:rsidR="007378C2" w:rsidRDefault="00A365B2" w:rsidP="007378C2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 xml:space="preserve">používání osobami s omezenými kognitivními schopnostmi. </w:t>
      </w:r>
    </w:p>
    <w:p w:rsidR="00C1563B" w:rsidRPr="005D6D44" w:rsidRDefault="00C1563B" w:rsidP="00C1563B">
      <w:pPr>
        <w:spacing w:line="360" w:lineRule="auto"/>
        <w:jc w:val="both"/>
        <w:rPr>
          <w:rFonts w:cs="Arial"/>
          <w:szCs w:val="24"/>
        </w:rPr>
      </w:pPr>
      <w:r w:rsidRPr="005D6D44">
        <w:rPr>
          <w:rFonts w:cs="Arial"/>
          <w:szCs w:val="24"/>
        </w:rPr>
        <w:t>Při monitorování přístupnosti se k obsahu webové stránky přistupovalo podle možnosti s využitím mini</w:t>
      </w:r>
      <w:r>
        <w:rPr>
          <w:rFonts w:cs="Arial"/>
          <w:szCs w:val="24"/>
        </w:rPr>
        <w:t>m</w:t>
      </w:r>
      <w:r w:rsidRPr="005D6D44">
        <w:rPr>
          <w:rFonts w:cs="Arial"/>
          <w:szCs w:val="24"/>
        </w:rPr>
        <w:t xml:space="preserve">álně dvou typů internetových vyhledavačů, které patří v České republice mezi nejčastěji používané. </w:t>
      </w:r>
    </w:p>
    <w:p w:rsidR="00C1563B" w:rsidRPr="00891D25" w:rsidRDefault="00C1563B" w:rsidP="00891D25">
      <w:pPr>
        <w:pStyle w:val="Nadpis2"/>
      </w:pPr>
      <w:bookmarkStart w:id="49" w:name="_Toc91065701"/>
      <w:bookmarkStart w:id="50" w:name="_Toc91065819"/>
      <w:bookmarkStart w:id="51" w:name="_Toc91065892"/>
      <w:bookmarkStart w:id="52" w:name="_Toc91066053"/>
      <w:bookmarkStart w:id="53" w:name="_Toc91067500"/>
      <w:bookmarkStart w:id="54" w:name="_Toc91067501"/>
      <w:bookmarkEnd w:id="49"/>
      <w:bookmarkEnd w:id="50"/>
      <w:bookmarkEnd w:id="51"/>
      <w:bookmarkEnd w:id="52"/>
      <w:bookmarkEnd w:id="53"/>
      <w:r w:rsidRPr="00891D25">
        <w:t>Nástroje využívané při kontrole přístupnosti internetových stránek a</w:t>
      </w:r>
      <w:r w:rsidR="005A3C98">
        <w:t> </w:t>
      </w:r>
      <w:r w:rsidRPr="00891D25">
        <w:t>mobilních aplikací</w:t>
      </w:r>
      <w:bookmarkEnd w:id="54"/>
    </w:p>
    <w:p w:rsidR="007378C2" w:rsidRDefault="007378C2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Kontroly přístupnosti internetových stránek a mobilních aplikací byly prováděny kontrolním</w:t>
      </w:r>
      <w:r w:rsidR="00E4422F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pra</w:t>
      </w:r>
      <w:r w:rsidR="00C1563B">
        <w:rPr>
          <w:rFonts w:cs="Arial"/>
          <w:szCs w:val="24"/>
        </w:rPr>
        <w:t>covníky Ministerstva vnitra, kteří</w:t>
      </w:r>
      <w:r>
        <w:rPr>
          <w:rFonts w:cs="Arial"/>
          <w:szCs w:val="24"/>
        </w:rPr>
        <w:t xml:space="preserve"> </w:t>
      </w:r>
      <w:r w:rsidR="00E4422F">
        <w:rPr>
          <w:rFonts w:cs="Arial"/>
          <w:szCs w:val="24"/>
        </w:rPr>
        <w:t>prová</w:t>
      </w:r>
      <w:r w:rsidR="00C1563B">
        <w:rPr>
          <w:rFonts w:cs="Arial"/>
          <w:szCs w:val="24"/>
        </w:rPr>
        <w:t>děli kontrolu manuálně, přičemž </w:t>
      </w:r>
      <w:r w:rsidR="00E4422F">
        <w:rPr>
          <w:rFonts w:cs="Arial"/>
          <w:szCs w:val="24"/>
        </w:rPr>
        <w:t xml:space="preserve">podpůrně využívali také automatizované nástroje a vybrané asistenční technologie. </w:t>
      </w:r>
    </w:p>
    <w:p w:rsidR="007378C2" w:rsidRPr="000268D3" w:rsidRDefault="007378C2" w:rsidP="007378C2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55" w:name="_Toc91066222"/>
      <w:r w:rsidRPr="00227AFB">
        <w:rPr>
          <w:rFonts w:cs="Arial"/>
          <w:i w:val="0"/>
          <w:color w:val="auto"/>
          <w:sz w:val="20"/>
        </w:rPr>
        <w:lastRenderedPageBreak/>
        <w:t xml:space="preserve">Tabulka </w:t>
      </w:r>
      <w:r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1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</w:t>
      </w:r>
      <w:r>
        <w:rPr>
          <w:rFonts w:cs="Arial"/>
          <w:i w:val="0"/>
          <w:color w:val="auto"/>
          <w:sz w:val="20"/>
        </w:rPr>
        <w:t>– Přehled vybraných nástrojů pro automatizované ověření přístupnosti</w:t>
      </w:r>
      <w:bookmarkEnd w:id="55"/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563B" w:rsidRPr="00996566" w:rsidTr="00C1563B">
        <w:tc>
          <w:tcPr>
            <w:tcW w:w="3686" w:type="dxa"/>
            <w:shd w:val="clear" w:color="auto" w:fill="DAEEF3" w:themeFill="accent5" w:themeFillTint="33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Název nástroje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Zdroj</w:t>
            </w:r>
          </w:p>
        </w:tc>
      </w:tr>
      <w:tr w:rsidR="00C1563B" w:rsidRPr="00996566" w:rsidTr="00C1563B">
        <w:trPr>
          <w:trHeight w:val="429"/>
        </w:trPr>
        <w:tc>
          <w:tcPr>
            <w:tcW w:w="3686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Accessibility Insights for Web</w:t>
            </w:r>
          </w:p>
        </w:tc>
        <w:tc>
          <w:tcPr>
            <w:tcW w:w="5812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4873E5">
              <w:rPr>
                <w:rFonts w:cs="Arial"/>
                <w:szCs w:val="24"/>
              </w:rPr>
              <w:t>https://accessibilityinsights.io/docs/en/web/overview/</w:t>
            </w:r>
          </w:p>
        </w:tc>
      </w:tr>
      <w:tr w:rsidR="00C1563B" w:rsidRPr="00996566" w:rsidTr="00C1563B">
        <w:trPr>
          <w:trHeight w:val="369"/>
        </w:trPr>
        <w:tc>
          <w:tcPr>
            <w:tcW w:w="3686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WAVE: Web Accessibility Tool</w:t>
            </w:r>
          </w:p>
        </w:tc>
        <w:tc>
          <w:tcPr>
            <w:tcW w:w="5812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F30802">
              <w:rPr>
                <w:rFonts w:cs="Arial"/>
                <w:szCs w:val="24"/>
              </w:rPr>
              <w:t>https://wave.webaim.org/</w:t>
            </w:r>
          </w:p>
        </w:tc>
      </w:tr>
      <w:tr w:rsidR="00C1563B" w:rsidRPr="00996566" w:rsidTr="00C1563B">
        <w:tc>
          <w:tcPr>
            <w:tcW w:w="3686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Colour Contrast Analyser</w:t>
            </w:r>
          </w:p>
        </w:tc>
        <w:tc>
          <w:tcPr>
            <w:tcW w:w="5812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F63870">
              <w:rPr>
                <w:rFonts w:cs="Arial"/>
                <w:szCs w:val="24"/>
              </w:rPr>
              <w:t>https://www.tpgi.com/color-contrast-checker/</w:t>
            </w:r>
          </w:p>
        </w:tc>
      </w:tr>
    </w:tbl>
    <w:p w:rsidR="007378C2" w:rsidRPr="000268D3" w:rsidRDefault="007378C2" w:rsidP="00891D25">
      <w:pPr>
        <w:pStyle w:val="Titulek"/>
        <w:spacing w:before="360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56" w:name="_Toc91066223"/>
      <w:r w:rsidRPr="00227AFB">
        <w:rPr>
          <w:rFonts w:cs="Arial"/>
          <w:i w:val="0"/>
          <w:color w:val="auto"/>
          <w:sz w:val="20"/>
        </w:rPr>
        <w:t xml:space="preserve">Tabulka </w:t>
      </w:r>
      <w:r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2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</w:t>
      </w:r>
      <w:r>
        <w:rPr>
          <w:rFonts w:cs="Arial"/>
          <w:i w:val="0"/>
          <w:color w:val="auto"/>
          <w:sz w:val="20"/>
        </w:rPr>
        <w:t>– Přehled vybraných asistenčních technologií k ověřování přístupnosti</w:t>
      </w:r>
      <w:bookmarkEnd w:id="56"/>
    </w:p>
    <w:tbl>
      <w:tblPr>
        <w:tblStyle w:val="Mkatabulky"/>
        <w:tblW w:w="9275" w:type="dxa"/>
        <w:tblLook w:val="04A0" w:firstRow="1" w:lastRow="0" w:firstColumn="1" w:lastColumn="0" w:noHBand="0" w:noVBand="1"/>
      </w:tblPr>
      <w:tblGrid>
        <w:gridCol w:w="3235"/>
        <w:gridCol w:w="1942"/>
        <w:gridCol w:w="4098"/>
      </w:tblGrid>
      <w:tr w:rsidR="00C1563B" w:rsidRPr="00996566" w:rsidTr="00891D25">
        <w:trPr>
          <w:trHeight w:val="251"/>
        </w:trPr>
        <w:tc>
          <w:tcPr>
            <w:tcW w:w="3235" w:type="dxa"/>
            <w:shd w:val="clear" w:color="auto" w:fill="DAEEF3" w:themeFill="accent5" w:themeFillTint="33"/>
          </w:tcPr>
          <w:p w:rsidR="00C1563B" w:rsidRPr="00996566" w:rsidRDefault="00C1563B" w:rsidP="00891D25">
            <w:pPr>
              <w:spacing w:line="264" w:lineRule="auto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Název nástroje</w:t>
            </w:r>
          </w:p>
        </w:tc>
        <w:tc>
          <w:tcPr>
            <w:tcW w:w="1942" w:type="dxa"/>
            <w:shd w:val="clear" w:color="auto" w:fill="DAEEF3" w:themeFill="accent5" w:themeFillTint="33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Operační systém</w:t>
            </w:r>
          </w:p>
        </w:tc>
        <w:tc>
          <w:tcPr>
            <w:tcW w:w="4098" w:type="dxa"/>
            <w:shd w:val="clear" w:color="auto" w:fill="DAEEF3" w:themeFill="accent5" w:themeFillTint="33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Zdroj</w:t>
            </w:r>
          </w:p>
        </w:tc>
      </w:tr>
      <w:tr w:rsidR="00C1563B" w:rsidRPr="00996566" w:rsidTr="00891D25">
        <w:trPr>
          <w:trHeight w:val="251"/>
        </w:trPr>
        <w:tc>
          <w:tcPr>
            <w:tcW w:w="3235" w:type="dxa"/>
          </w:tcPr>
          <w:p w:rsidR="00C1563B" w:rsidRPr="00996566" w:rsidRDefault="00C1563B" w:rsidP="00891D25">
            <w:pPr>
              <w:spacing w:line="264" w:lineRule="auto"/>
              <w:jc w:val="both"/>
              <w:rPr>
                <w:rFonts w:cs="Arial"/>
                <w:szCs w:val="24"/>
              </w:rPr>
            </w:pPr>
            <w:r w:rsidRPr="00996566">
              <w:rPr>
                <w:rFonts w:cs="Arial"/>
                <w:szCs w:val="24"/>
              </w:rPr>
              <w:t>Non</w:t>
            </w:r>
            <w:r>
              <w:rPr>
                <w:rFonts w:cs="Arial"/>
                <w:szCs w:val="24"/>
              </w:rPr>
              <w:t xml:space="preserve"> </w:t>
            </w:r>
            <w:r w:rsidRPr="00996566">
              <w:rPr>
                <w:rFonts w:cs="Arial"/>
                <w:szCs w:val="24"/>
              </w:rPr>
              <w:t>Visual Desktop Access</w:t>
            </w:r>
            <w:r>
              <w:rPr>
                <w:rFonts w:cs="Arial"/>
                <w:szCs w:val="24"/>
              </w:rPr>
              <w:t xml:space="preserve"> </w:t>
            </w:r>
            <w:r w:rsidRPr="00996566">
              <w:rPr>
                <w:rFonts w:cs="Arial"/>
                <w:szCs w:val="24"/>
              </w:rPr>
              <w:t>(NVDA)</w:t>
            </w:r>
          </w:p>
        </w:tc>
        <w:tc>
          <w:tcPr>
            <w:tcW w:w="1942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Windows</w:t>
            </w:r>
          </w:p>
        </w:tc>
        <w:tc>
          <w:tcPr>
            <w:tcW w:w="4098" w:type="dxa"/>
          </w:tcPr>
          <w:p w:rsidR="00C1563B" w:rsidRPr="00996566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70006">
              <w:rPr>
                <w:rFonts w:cs="Arial"/>
                <w:szCs w:val="24"/>
              </w:rPr>
              <w:t>https://www.nvaccess.org/download/</w:t>
            </w:r>
          </w:p>
        </w:tc>
      </w:tr>
      <w:tr w:rsidR="00C1563B" w:rsidRPr="00996566" w:rsidTr="00891D25">
        <w:trPr>
          <w:trHeight w:val="251"/>
        </w:trPr>
        <w:tc>
          <w:tcPr>
            <w:tcW w:w="3235" w:type="dxa"/>
          </w:tcPr>
          <w:p w:rsidR="00C1563B" w:rsidRPr="00996566" w:rsidRDefault="00C1563B" w:rsidP="00891D25">
            <w:pPr>
              <w:spacing w:line="264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TalkBlack</w:t>
            </w:r>
          </w:p>
        </w:tc>
        <w:tc>
          <w:tcPr>
            <w:tcW w:w="1942" w:type="dxa"/>
          </w:tcPr>
          <w:p w:rsidR="00C1563B" w:rsidRDefault="00C1563B" w:rsidP="00891D25">
            <w:pPr>
              <w:pStyle w:val="Odstavecseseznamem"/>
              <w:spacing w:line="264" w:lineRule="auto"/>
              <w:ind w:left="0"/>
              <w:contextualSpacing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Android</w:t>
            </w:r>
          </w:p>
        </w:tc>
        <w:tc>
          <w:tcPr>
            <w:tcW w:w="4098" w:type="dxa"/>
          </w:tcPr>
          <w:p w:rsidR="00C1563B" w:rsidRDefault="00C1563B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Čtečka obrazovky integrovaná v zařízeních Android</w:t>
            </w:r>
          </w:p>
        </w:tc>
      </w:tr>
    </w:tbl>
    <w:p w:rsidR="00C1563B" w:rsidRPr="00891D25" w:rsidRDefault="00C1563B" w:rsidP="00891D25">
      <w:pPr>
        <w:pStyle w:val="Nadpis2"/>
      </w:pPr>
      <w:bookmarkStart w:id="57" w:name="_Toc91065703"/>
      <w:bookmarkStart w:id="58" w:name="_Toc91065821"/>
      <w:bookmarkStart w:id="59" w:name="_Toc91065894"/>
      <w:bookmarkStart w:id="60" w:name="_Toc91066055"/>
      <w:bookmarkStart w:id="61" w:name="_Toc91067502"/>
      <w:bookmarkStart w:id="62" w:name="_Toc91067503"/>
      <w:bookmarkEnd w:id="57"/>
      <w:bookmarkEnd w:id="58"/>
      <w:bookmarkEnd w:id="59"/>
      <w:bookmarkEnd w:id="60"/>
      <w:bookmarkEnd w:id="61"/>
      <w:r w:rsidRPr="00891D25">
        <w:t>Popis reprezentativnosti a rozložení vzorku</w:t>
      </w:r>
      <w:bookmarkEnd w:id="62"/>
    </w:p>
    <w:p w:rsidR="00CC03A0" w:rsidRDefault="00A365B2" w:rsidP="00E26559">
      <w:pPr>
        <w:spacing w:after="160" w:line="360" w:lineRule="auto"/>
        <w:ind w:firstLine="360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Počet internetových stránek a mobilních aplikací, které mají být sledovány</w:t>
      </w:r>
      <w:r w:rsidR="00CC03A0">
        <w:rPr>
          <w:rFonts w:cs="Arial"/>
          <w:szCs w:val="24"/>
        </w:rPr>
        <w:t>, byl stanoven</w:t>
      </w:r>
      <w:r>
        <w:rPr>
          <w:rFonts w:cs="Arial"/>
          <w:szCs w:val="24"/>
        </w:rPr>
        <w:t xml:space="preserve"> na základě </w:t>
      </w:r>
      <w:r w:rsidR="00CC03A0">
        <w:rPr>
          <w:rFonts w:cs="Arial"/>
          <w:szCs w:val="24"/>
        </w:rPr>
        <w:t>Prováděcího rozhodnutí K</w:t>
      </w:r>
      <w:r w:rsidR="00E26559">
        <w:rPr>
          <w:rFonts w:cs="Arial"/>
          <w:szCs w:val="24"/>
        </w:rPr>
        <w:t>omise (EU) 2018/1524 ze dne 11. </w:t>
      </w:r>
      <w:r w:rsidR="00CC03A0">
        <w:rPr>
          <w:rFonts w:cs="Arial"/>
          <w:szCs w:val="24"/>
        </w:rPr>
        <w:t xml:space="preserve">října 2018, kterým se stanoví metodika sledování a ustanovení pro podávání zpráv členských států v souladu se směrnicí Evropského parlamentu a Rady (EU) 2016/2102 o přístupnosti internetových stránek a mobilních aplikací. </w:t>
      </w:r>
    </w:p>
    <w:p w:rsidR="00A365B2" w:rsidRDefault="00CC03A0" w:rsidP="00E26559">
      <w:pPr>
        <w:spacing w:after="160"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Minimální velikost vzorku pro zjednodušené sledování internetových stránek v prvním sledovaném období (tj. 2020-2021) byl</w:t>
      </w:r>
      <w:r w:rsidR="00C1563B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2 internetové stránky na 100 000 obyvatel plus 75 internetových stránek. Pro Českou </w:t>
      </w:r>
      <w:r w:rsidR="00E26559">
        <w:rPr>
          <w:rFonts w:cs="Arial"/>
          <w:szCs w:val="24"/>
        </w:rPr>
        <w:t>republiku to tedy znamenalo 287 </w:t>
      </w:r>
      <w:r>
        <w:rPr>
          <w:rFonts w:cs="Arial"/>
          <w:szCs w:val="24"/>
        </w:rPr>
        <w:t xml:space="preserve">internetových stránek. </w:t>
      </w:r>
    </w:p>
    <w:p w:rsidR="00CC03A0" w:rsidRDefault="00CC03A0" w:rsidP="00E26559">
      <w:pPr>
        <w:spacing w:after="160"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Minimální velikost vzorku pro důkladné sledování internetových stránek musela být nejméně 5 % minimální velikosti vzorku pro</w:t>
      </w:r>
      <w:r w:rsidR="00E26559">
        <w:rPr>
          <w:rFonts w:cs="Arial"/>
          <w:szCs w:val="24"/>
        </w:rPr>
        <w:t xml:space="preserve"> zjednodušené sledování plus 10 </w:t>
      </w:r>
      <w:r>
        <w:rPr>
          <w:rFonts w:cs="Arial"/>
          <w:szCs w:val="24"/>
        </w:rPr>
        <w:t xml:space="preserve">internetových stránek. Pro Českou republiku to tedy znamenalo 24 internetových stránek. </w:t>
      </w:r>
    </w:p>
    <w:p w:rsidR="00A365B2" w:rsidRPr="00E4422F" w:rsidRDefault="00CC03A0" w:rsidP="00E26559">
      <w:pPr>
        <w:spacing w:after="160"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Minimální velikost vzorku pro důkladné sledování mobi</w:t>
      </w:r>
      <w:r w:rsidR="00A94440">
        <w:rPr>
          <w:rFonts w:cs="Arial"/>
          <w:szCs w:val="24"/>
        </w:rPr>
        <w:t>lních aplikací byla stanovena následovně:</w:t>
      </w:r>
      <w:r>
        <w:rPr>
          <w:rFonts w:cs="Arial"/>
          <w:szCs w:val="24"/>
        </w:rPr>
        <w:t xml:space="preserve"> 1 aplikace na 100 000 obyvatel plus 6 aplikací. Pro Českou republiku to znamenalo 16 mobilních aplikací. </w:t>
      </w:r>
    </w:p>
    <w:p w:rsidR="00DF278E" w:rsidRDefault="005558D0" w:rsidP="00E26559">
      <w:pPr>
        <w:spacing w:line="360" w:lineRule="auto"/>
        <w:ind w:firstLine="360"/>
        <w:jc w:val="both"/>
        <w:rPr>
          <w:rFonts w:cs="Arial"/>
          <w:szCs w:val="24"/>
        </w:rPr>
      </w:pPr>
      <w:r w:rsidRPr="009E46A7">
        <w:rPr>
          <w:rFonts w:cs="Arial"/>
          <w:szCs w:val="24"/>
        </w:rPr>
        <w:t xml:space="preserve">Vzorek vybraných subjektů zahrnoval internetové stránky různých úrovní </w:t>
      </w:r>
      <w:r w:rsidR="00C1563B">
        <w:rPr>
          <w:rFonts w:cs="Arial"/>
          <w:szCs w:val="24"/>
        </w:rPr>
        <w:t>státní a</w:t>
      </w:r>
      <w:r w:rsidR="00F4372C">
        <w:rPr>
          <w:rFonts w:cs="Arial"/>
          <w:szCs w:val="24"/>
        </w:rPr>
        <w:t> </w:t>
      </w:r>
      <w:r w:rsidR="00C1563B">
        <w:rPr>
          <w:rFonts w:cs="Arial"/>
          <w:szCs w:val="24"/>
        </w:rPr>
        <w:t xml:space="preserve">veřejné </w:t>
      </w:r>
      <w:r w:rsidR="003877FA">
        <w:rPr>
          <w:rFonts w:cs="Arial"/>
          <w:szCs w:val="24"/>
        </w:rPr>
        <w:t>správy (od </w:t>
      </w:r>
      <w:r w:rsidR="00C1563B">
        <w:rPr>
          <w:rFonts w:cs="Arial"/>
          <w:szCs w:val="24"/>
        </w:rPr>
        <w:t>obecních úřadů s rozšířenou působností</w:t>
      </w:r>
      <w:r w:rsidRPr="009E46A7">
        <w:rPr>
          <w:rFonts w:cs="Arial"/>
          <w:szCs w:val="24"/>
        </w:rPr>
        <w:t xml:space="preserve">, krajských úřadů až </w:t>
      </w:r>
      <w:r w:rsidR="00C1563B">
        <w:rPr>
          <w:rFonts w:cs="Arial"/>
          <w:szCs w:val="24"/>
        </w:rPr>
        <w:t>po ministerstva či jimi zřízené</w:t>
      </w:r>
      <w:r w:rsidRPr="009E46A7">
        <w:rPr>
          <w:rFonts w:cs="Arial"/>
          <w:szCs w:val="24"/>
        </w:rPr>
        <w:t xml:space="preserve"> právnické osoby).</w:t>
      </w:r>
      <w:r w:rsidR="00814259">
        <w:rPr>
          <w:rFonts w:cs="Arial"/>
          <w:szCs w:val="24"/>
        </w:rPr>
        <w:t xml:space="preserve"> S ohledem na klasifikaci územních statistických jednotek (NUTS) a místní správní jednotky (LAU) uvedené v NUTS, vzorek obsahoval následující internetové stránky:</w:t>
      </w:r>
    </w:p>
    <w:p w:rsidR="00814259" w:rsidRPr="00814259" w:rsidRDefault="00814259" w:rsidP="00891D25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celostátní internetové stránky;</w:t>
      </w:r>
    </w:p>
    <w:p w:rsidR="00814259" w:rsidRPr="00814259" w:rsidRDefault="00814259" w:rsidP="00891D25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regionální internetové stránky (NUTS1, NUTS2, NUTS3);</w:t>
      </w:r>
    </w:p>
    <w:p w:rsidR="00814259" w:rsidRPr="00814259" w:rsidRDefault="00814259" w:rsidP="00891D25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>místní internetové stránky (LAU1,LAU2);</w:t>
      </w:r>
    </w:p>
    <w:p w:rsidR="00814259" w:rsidRPr="00814259" w:rsidRDefault="00814259" w:rsidP="00891D25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cs="Arial"/>
          <w:szCs w:val="24"/>
        </w:rPr>
      </w:pPr>
      <w:r w:rsidRPr="00814259">
        <w:rPr>
          <w:rFonts w:cs="Arial"/>
          <w:szCs w:val="24"/>
        </w:rPr>
        <w:t xml:space="preserve">internetové stránky veřejnoprávních subjektů, které nepatří do </w:t>
      </w:r>
      <w:r w:rsidR="00C1563B">
        <w:rPr>
          <w:rFonts w:cs="Arial"/>
          <w:szCs w:val="24"/>
        </w:rPr>
        <w:t>žádné z výše uvedených.</w:t>
      </w:r>
    </w:p>
    <w:p w:rsidR="00DF278E" w:rsidRDefault="00C1563B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Posuzovaný v</w:t>
      </w:r>
      <w:r w:rsidR="005558D0" w:rsidRPr="009E46A7">
        <w:rPr>
          <w:rFonts w:cs="Arial"/>
          <w:szCs w:val="24"/>
        </w:rPr>
        <w:t>zorek zahrnoval také internetové stránky odrážející v co největší míře různorodost služeb poskytovaných subjekty veřejného se</w:t>
      </w:r>
      <w:r w:rsidR="007A184C">
        <w:rPr>
          <w:rFonts w:cs="Arial"/>
          <w:szCs w:val="24"/>
        </w:rPr>
        <w:t xml:space="preserve">ktoru, a to v oblasti: sociálně-právní </w:t>
      </w:r>
      <w:r w:rsidR="00814259">
        <w:rPr>
          <w:rFonts w:cs="Arial"/>
          <w:szCs w:val="24"/>
        </w:rPr>
        <w:t>ochrany</w:t>
      </w:r>
      <w:r w:rsidR="005558D0" w:rsidRPr="009E46A7">
        <w:rPr>
          <w:rFonts w:cs="Arial"/>
          <w:szCs w:val="24"/>
        </w:rPr>
        <w:t xml:space="preserve">, zdravotnictví, dopravy, vzdělání, </w:t>
      </w:r>
      <w:r w:rsidR="007A184C">
        <w:rPr>
          <w:rFonts w:cs="Arial"/>
          <w:szCs w:val="24"/>
        </w:rPr>
        <w:t>zaměstnanosti</w:t>
      </w:r>
      <w:r w:rsidR="00814259">
        <w:rPr>
          <w:rFonts w:cs="Arial"/>
          <w:szCs w:val="24"/>
        </w:rPr>
        <w:t xml:space="preserve"> a daní, ochrany životního prostředí, rekreace a </w:t>
      </w:r>
      <w:r w:rsidR="005558D0" w:rsidRPr="009E46A7">
        <w:rPr>
          <w:rFonts w:cs="Arial"/>
          <w:szCs w:val="24"/>
        </w:rPr>
        <w:t>kultury</w:t>
      </w:r>
      <w:r w:rsidR="00814259">
        <w:rPr>
          <w:rFonts w:cs="Arial"/>
          <w:szCs w:val="24"/>
        </w:rPr>
        <w:t>, bydlení a veřejné infrastruktury a veřejného pořádku a bezpečnosti</w:t>
      </w:r>
      <w:r w:rsidR="005558D0" w:rsidRPr="009E46A7">
        <w:rPr>
          <w:rFonts w:cs="Arial"/>
          <w:szCs w:val="24"/>
        </w:rPr>
        <w:t>.</w:t>
      </w:r>
    </w:p>
    <w:p w:rsidR="00814259" w:rsidRDefault="00814259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Při výběru</w:t>
      </w:r>
      <w:r w:rsidR="007A184C">
        <w:rPr>
          <w:rFonts w:cs="Arial"/>
          <w:szCs w:val="24"/>
        </w:rPr>
        <w:t xml:space="preserve"> kontrolovaného</w:t>
      </w:r>
      <w:r>
        <w:rPr>
          <w:rFonts w:cs="Arial"/>
          <w:szCs w:val="24"/>
        </w:rPr>
        <w:t xml:space="preserve"> vzorku mobilních aplikací</w:t>
      </w:r>
      <w:r w:rsidR="007A184C">
        <w:rPr>
          <w:rFonts w:cs="Arial"/>
          <w:szCs w:val="24"/>
        </w:rPr>
        <w:t xml:space="preserve"> bylo přihlédnuto také k jejich různorodosti</w:t>
      </w:r>
      <w:r>
        <w:rPr>
          <w:rFonts w:cs="Arial"/>
          <w:szCs w:val="24"/>
        </w:rPr>
        <w:t xml:space="preserve"> a reprezentativní</w:t>
      </w:r>
      <w:r w:rsidR="007A184C">
        <w:rPr>
          <w:rFonts w:cs="Arial"/>
          <w:szCs w:val="24"/>
        </w:rPr>
        <w:t>mu</w:t>
      </w:r>
      <w:r>
        <w:rPr>
          <w:rFonts w:cs="Arial"/>
          <w:szCs w:val="24"/>
        </w:rPr>
        <w:t xml:space="preserve"> složení. Do vzorku byly zahrnuty nejčastěji stahované mobilní aplikace.</w:t>
      </w:r>
    </w:p>
    <w:p w:rsidR="007A184C" w:rsidRPr="00D4456F" w:rsidRDefault="007A184C" w:rsidP="007A184C">
      <w:pPr>
        <w:spacing w:line="360" w:lineRule="auto"/>
        <w:ind w:firstLine="360"/>
        <w:jc w:val="both"/>
        <w:rPr>
          <w:rFonts w:cs="Arial"/>
          <w:color w:val="000000"/>
          <w:szCs w:val="24"/>
          <w:shd w:val="clear" w:color="auto" w:fill="FFFFFF"/>
        </w:rPr>
      </w:pPr>
      <w:r w:rsidRPr="009E46A7">
        <w:rPr>
          <w:rFonts w:cs="Arial"/>
          <w:szCs w:val="24"/>
        </w:rPr>
        <w:t>Vzorek vybraných subjektů byl konzultován s</w:t>
      </w:r>
      <w:r>
        <w:rPr>
          <w:rFonts w:cs="Arial"/>
          <w:szCs w:val="24"/>
        </w:rPr>
        <w:t xml:space="preserve">e </w:t>
      </w:r>
      <w:r w:rsidRPr="009E46A7">
        <w:rPr>
          <w:rFonts w:cs="Arial"/>
          <w:szCs w:val="24"/>
        </w:rPr>
        <w:t>Sje</w:t>
      </w:r>
      <w:r>
        <w:rPr>
          <w:rFonts w:cs="Arial"/>
          <w:szCs w:val="24"/>
        </w:rPr>
        <w:t>dnocenou organizací nevidomých a </w:t>
      </w:r>
      <w:r w:rsidRPr="009E46A7">
        <w:rPr>
          <w:rFonts w:cs="Arial"/>
          <w:szCs w:val="24"/>
        </w:rPr>
        <w:t>slabozrakých Č</w:t>
      </w:r>
      <w:r>
        <w:rPr>
          <w:rFonts w:cs="Arial"/>
          <w:szCs w:val="24"/>
        </w:rPr>
        <w:t>eské republiky</w:t>
      </w:r>
      <w:r w:rsidRPr="009E46A7">
        <w:rPr>
          <w:rFonts w:cs="Arial"/>
          <w:szCs w:val="24"/>
        </w:rPr>
        <w:t xml:space="preserve"> (SONS</w:t>
      </w:r>
      <w:r>
        <w:rPr>
          <w:rFonts w:cs="Arial"/>
          <w:szCs w:val="24"/>
        </w:rPr>
        <w:t xml:space="preserve"> ČR, z.s.</w:t>
      </w:r>
      <w:r w:rsidRPr="009E46A7">
        <w:rPr>
          <w:rFonts w:cs="Arial"/>
          <w:szCs w:val="24"/>
        </w:rPr>
        <w:t>)</w:t>
      </w:r>
      <w:r>
        <w:rPr>
          <w:rStyle w:val="Znakapoznpodarou"/>
          <w:rFonts w:cs="Arial"/>
          <w:szCs w:val="24"/>
        </w:rPr>
        <w:footnoteReference w:id="1"/>
      </w:r>
      <w:r w:rsidRPr="009E46A7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D4456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D4456F">
        <w:rPr>
          <w:rFonts w:cs="Arial"/>
          <w:szCs w:val="24"/>
        </w:rPr>
        <w:t>SONS ČR, z. s. je největší organizac</w:t>
      </w:r>
      <w:r>
        <w:rPr>
          <w:rFonts w:cs="Arial"/>
          <w:szCs w:val="24"/>
        </w:rPr>
        <w:t>í</w:t>
      </w:r>
      <w:r w:rsidRPr="00D4456F">
        <w:rPr>
          <w:rFonts w:cs="Arial"/>
          <w:szCs w:val="24"/>
        </w:rPr>
        <w:t xml:space="preserve"> s celostátní působností sdružující osoby s těžkým zrakovým postižením. Jejím posláním je hájit zájmy těchto oso</w:t>
      </w:r>
      <w:r>
        <w:rPr>
          <w:rFonts w:cs="Arial"/>
          <w:szCs w:val="24"/>
        </w:rPr>
        <w:t>b a poskytovat služby vedoucí k </w:t>
      </w:r>
      <w:r w:rsidRPr="00D4456F">
        <w:rPr>
          <w:rFonts w:cs="Arial"/>
          <w:szCs w:val="24"/>
        </w:rPr>
        <w:t>integraci osob se zrakovým postižením do s</w:t>
      </w:r>
      <w:r>
        <w:rPr>
          <w:rFonts w:cs="Arial"/>
          <w:szCs w:val="24"/>
        </w:rPr>
        <w:t>polečnosti. Jednou z priorit je </w:t>
      </w:r>
      <w:r w:rsidRPr="00D4456F">
        <w:rPr>
          <w:rFonts w:cs="Arial"/>
          <w:szCs w:val="24"/>
        </w:rPr>
        <w:t xml:space="preserve">odstraňování informačních bariér. Proto SONS ČR, z. s. poskytuje mimo jiné služby </w:t>
      </w:r>
      <w:r w:rsidRPr="00D4456F">
        <w:rPr>
          <w:rFonts w:cs="Arial"/>
          <w:szCs w:val="24"/>
        </w:rPr>
        <w:lastRenderedPageBreak/>
        <w:t>v oblasti přístupnosti elektronických informačních systémů, účastní se práce Odborné pracovní skupiny pro přístupnost veřejné správy a veřejných</w:t>
      </w:r>
      <w:r w:rsidRPr="00D4456F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D4456F">
        <w:rPr>
          <w:rFonts w:cs="Arial"/>
          <w:szCs w:val="24"/>
        </w:rPr>
        <w:t>služeb</w:t>
      </w:r>
      <w:r w:rsidRPr="00D4456F">
        <w:rPr>
          <w:rFonts w:cs="Arial"/>
          <w:color w:val="000000"/>
          <w:szCs w:val="24"/>
          <w:shd w:val="clear" w:color="auto" w:fill="FFFFFF"/>
        </w:rPr>
        <w:t xml:space="preserve"> Vládního výboru pro zdravotně postižené občany a je v oblasti přístupnosti partnerem dalších státních organizací i soukromých subjektů</w:t>
      </w:r>
      <w:r>
        <w:rPr>
          <w:rStyle w:val="Znakapoznpodarou"/>
          <w:rFonts w:cs="Arial"/>
          <w:color w:val="000000"/>
          <w:szCs w:val="24"/>
          <w:shd w:val="clear" w:color="auto" w:fill="FFFFFF"/>
        </w:rPr>
        <w:footnoteReference w:id="2"/>
      </w:r>
      <w:r w:rsidRPr="00D4456F">
        <w:rPr>
          <w:rFonts w:cs="Arial"/>
          <w:color w:val="000000"/>
          <w:szCs w:val="24"/>
          <w:shd w:val="clear" w:color="auto" w:fill="FFFFFF"/>
        </w:rPr>
        <w:t>.</w:t>
      </w:r>
    </w:p>
    <w:p w:rsidR="007A184C" w:rsidRPr="00891D25" w:rsidRDefault="007A184C" w:rsidP="00891D25">
      <w:pPr>
        <w:pStyle w:val="Nadpis2"/>
      </w:pPr>
      <w:bookmarkStart w:id="63" w:name="_Toc91065705"/>
      <w:bookmarkStart w:id="64" w:name="_Toc91065823"/>
      <w:bookmarkStart w:id="65" w:name="_Toc91065896"/>
      <w:bookmarkStart w:id="66" w:name="_Toc91066057"/>
      <w:bookmarkStart w:id="67" w:name="_Toc91067504"/>
      <w:bookmarkStart w:id="68" w:name="_Toc91067505"/>
      <w:bookmarkEnd w:id="63"/>
      <w:bookmarkEnd w:id="64"/>
      <w:bookmarkEnd w:id="65"/>
      <w:bookmarkEnd w:id="66"/>
      <w:bookmarkEnd w:id="67"/>
      <w:r w:rsidRPr="00891D25">
        <w:t>Složení vzorku</w:t>
      </w:r>
      <w:bookmarkEnd w:id="68"/>
      <w:r w:rsidRPr="00891D25">
        <w:t xml:space="preserve"> </w:t>
      </w:r>
    </w:p>
    <w:p w:rsidR="005558D0" w:rsidRDefault="007A184C" w:rsidP="0078322B">
      <w:pPr>
        <w:pStyle w:val="Odstavecseseznamem"/>
        <w:numPr>
          <w:ilvl w:val="0"/>
          <w:numId w:val="10"/>
        </w:numPr>
        <w:spacing w:after="160" w:line="259" w:lineRule="auto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C</w:t>
      </w:r>
      <w:r w:rsidR="005558D0" w:rsidRPr="0078322B">
        <w:rPr>
          <w:rFonts w:cs="Arial"/>
          <w:b/>
          <w:i/>
          <w:szCs w:val="24"/>
        </w:rPr>
        <w:t>elkový počet internetových stránek a mobilních aplikací zahrnutých do vzorku</w:t>
      </w:r>
    </w:p>
    <w:p w:rsidR="00227AFB" w:rsidRPr="00227AFB" w:rsidRDefault="00227AFB" w:rsidP="00227AFB">
      <w:pPr>
        <w:pStyle w:val="Titulek"/>
        <w:ind w:firstLine="708"/>
        <w:rPr>
          <w:rFonts w:cs="Arial"/>
          <w:b/>
          <w:i w:val="0"/>
          <w:color w:val="auto"/>
          <w:sz w:val="28"/>
          <w:szCs w:val="24"/>
        </w:rPr>
      </w:pPr>
      <w:bookmarkStart w:id="69" w:name="_Toc91066224"/>
      <w:r w:rsidRPr="00227AFB">
        <w:rPr>
          <w:rFonts w:cs="Arial"/>
          <w:i w:val="0"/>
          <w:color w:val="auto"/>
          <w:sz w:val="20"/>
        </w:rPr>
        <w:t>Tabulka</w:t>
      </w:r>
      <w:r w:rsidR="003B7032">
        <w:rPr>
          <w:rFonts w:cs="Arial"/>
          <w:i w:val="0"/>
          <w:color w:val="auto"/>
          <w:sz w:val="20"/>
        </w:rPr>
        <w:t xml:space="preserve"> č.</w:t>
      </w:r>
      <w:r w:rsidRPr="00227AFB">
        <w:rPr>
          <w:rFonts w:cs="Arial"/>
          <w:i w:val="0"/>
          <w:color w:val="auto"/>
          <w:sz w:val="20"/>
        </w:rPr>
        <w:t xml:space="preserve">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3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 Celkový počet internetových stránek a mobilních aplikací zahrnutých do vzorku</w:t>
      </w:r>
      <w:bookmarkEnd w:id="69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94"/>
        <w:gridCol w:w="4147"/>
      </w:tblGrid>
      <w:tr w:rsidR="005558D0" w:rsidRPr="0078322B" w:rsidTr="0078322B"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5558D0" w:rsidRPr="0078322B">
              <w:rPr>
                <w:rFonts w:cs="Arial"/>
                <w:szCs w:val="24"/>
              </w:rPr>
              <w:t>elkový počet internetových stránek</w:t>
            </w:r>
          </w:p>
        </w:tc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Celkový počet mobilních aplikací</w:t>
            </w:r>
          </w:p>
        </w:tc>
      </w:tr>
      <w:tr w:rsidR="005558D0" w:rsidRPr="0078322B" w:rsidTr="00996566">
        <w:tc>
          <w:tcPr>
            <w:tcW w:w="4531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310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17</w:t>
            </w:r>
          </w:p>
        </w:tc>
      </w:tr>
    </w:tbl>
    <w:p w:rsidR="005558D0" w:rsidRDefault="007A184C" w:rsidP="00891D25">
      <w:pPr>
        <w:pStyle w:val="Odstavecseseznamem"/>
        <w:numPr>
          <w:ilvl w:val="0"/>
          <w:numId w:val="10"/>
        </w:numPr>
        <w:spacing w:before="240" w:after="160" w:line="259" w:lineRule="auto"/>
        <w:ind w:left="714" w:hanging="357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P</w:t>
      </w:r>
      <w:r w:rsidR="005558D0" w:rsidRPr="0078322B">
        <w:rPr>
          <w:rFonts w:cs="Arial"/>
          <w:b/>
          <w:i/>
          <w:szCs w:val="24"/>
        </w:rPr>
        <w:t>očet internetových stránek sledovaných metodou zjednodušeného sledování</w:t>
      </w:r>
    </w:p>
    <w:p w:rsidR="00227AFB" w:rsidRPr="00227AFB" w:rsidRDefault="00227AFB" w:rsidP="00227AFB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70" w:name="_Toc91066225"/>
      <w:r w:rsidRPr="00227AFB">
        <w:rPr>
          <w:rFonts w:cs="Arial"/>
          <w:i w:val="0"/>
          <w:color w:val="auto"/>
          <w:sz w:val="20"/>
        </w:rPr>
        <w:t>Tabulka</w:t>
      </w:r>
      <w:r w:rsidR="003B7032">
        <w:rPr>
          <w:rFonts w:cs="Arial"/>
          <w:i w:val="0"/>
          <w:color w:val="auto"/>
          <w:sz w:val="20"/>
        </w:rPr>
        <w:t xml:space="preserve"> č.</w:t>
      </w:r>
      <w:r w:rsidRPr="00227AFB">
        <w:rPr>
          <w:rFonts w:cs="Arial"/>
          <w:i w:val="0"/>
          <w:color w:val="auto"/>
          <w:sz w:val="20"/>
        </w:rPr>
        <w:t xml:space="preserve">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4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 Počet internetových stránek sledovaných metodou zjednodušeného sledování</w:t>
      </w:r>
      <w:bookmarkEnd w:id="70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5558D0" w:rsidRPr="0078322B" w:rsidTr="0078322B">
        <w:tc>
          <w:tcPr>
            <w:tcW w:w="9062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5558D0" w:rsidRPr="0078322B">
              <w:rPr>
                <w:rFonts w:cs="Arial"/>
                <w:szCs w:val="24"/>
              </w:rPr>
              <w:t>očet internetových stránek – zjednodušené sledování</w:t>
            </w:r>
          </w:p>
        </w:tc>
      </w:tr>
      <w:tr w:rsidR="005558D0" w:rsidRPr="0078322B" w:rsidTr="00E4422F">
        <w:trPr>
          <w:trHeight w:val="403"/>
        </w:trPr>
        <w:tc>
          <w:tcPr>
            <w:tcW w:w="9062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286</w:t>
            </w:r>
          </w:p>
        </w:tc>
      </w:tr>
    </w:tbl>
    <w:p w:rsidR="005558D0" w:rsidRDefault="007A184C" w:rsidP="00891D25">
      <w:pPr>
        <w:pStyle w:val="Odstavecseseznamem"/>
        <w:numPr>
          <w:ilvl w:val="0"/>
          <w:numId w:val="10"/>
        </w:numPr>
        <w:spacing w:before="240" w:after="160" w:line="259" w:lineRule="auto"/>
        <w:ind w:left="714" w:hanging="357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P</w:t>
      </w:r>
      <w:r w:rsidR="005558D0" w:rsidRPr="0078322B">
        <w:rPr>
          <w:rFonts w:cs="Arial"/>
          <w:b/>
          <w:i/>
          <w:szCs w:val="24"/>
        </w:rPr>
        <w:t>očet internetových stránek a mobilních aplikací sledovaných metodou důkladného sledování</w:t>
      </w:r>
    </w:p>
    <w:p w:rsidR="00227AFB" w:rsidRPr="00227AFB" w:rsidRDefault="00227AFB" w:rsidP="00891D25">
      <w:pPr>
        <w:pStyle w:val="Titulek"/>
        <w:keepNext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71" w:name="_Toc91066226"/>
      <w:r w:rsidRPr="00227AFB">
        <w:rPr>
          <w:rFonts w:cs="Arial"/>
          <w:i w:val="0"/>
          <w:color w:val="auto"/>
          <w:sz w:val="20"/>
        </w:rPr>
        <w:t>Tabulka</w:t>
      </w:r>
      <w:r w:rsidR="003B7032" w:rsidRPr="003B7032">
        <w:rPr>
          <w:rFonts w:cs="Arial"/>
          <w:i w:val="0"/>
          <w:color w:val="auto"/>
          <w:sz w:val="20"/>
        </w:rPr>
        <w:t xml:space="preserve"> </w:t>
      </w:r>
      <w:r w:rsidR="003B7032">
        <w:rPr>
          <w:rFonts w:cs="Arial"/>
          <w:i w:val="0"/>
          <w:color w:val="auto"/>
          <w:sz w:val="20"/>
        </w:rPr>
        <w:t>č.</w:t>
      </w:r>
      <w:r w:rsidRPr="00227AFB">
        <w:rPr>
          <w:rFonts w:cs="Arial"/>
          <w:i w:val="0"/>
          <w:color w:val="auto"/>
          <w:sz w:val="20"/>
        </w:rPr>
        <w:t xml:space="preserve">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5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</w:t>
      </w:r>
      <w:r>
        <w:rPr>
          <w:rFonts w:cs="Arial"/>
          <w:i w:val="0"/>
          <w:color w:val="auto"/>
          <w:sz w:val="20"/>
        </w:rPr>
        <w:t xml:space="preserve"> P</w:t>
      </w:r>
      <w:r w:rsidRPr="00227AFB">
        <w:rPr>
          <w:rFonts w:cs="Arial"/>
          <w:i w:val="0"/>
          <w:color w:val="auto"/>
          <w:sz w:val="20"/>
        </w:rPr>
        <w:t xml:space="preserve">očet internetových stránek a mobilních aplikací </w:t>
      </w:r>
      <w:r>
        <w:rPr>
          <w:rFonts w:cs="Arial"/>
          <w:i w:val="0"/>
          <w:color w:val="auto"/>
          <w:sz w:val="20"/>
        </w:rPr>
        <w:t>sledovaných metodou důkladného sledování</w:t>
      </w:r>
      <w:bookmarkEnd w:id="71"/>
    </w:p>
    <w:tbl>
      <w:tblPr>
        <w:tblStyle w:val="Mkatabulky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5558D0" w:rsidRPr="0078322B" w:rsidTr="0078322B">
        <w:tc>
          <w:tcPr>
            <w:tcW w:w="8347" w:type="dxa"/>
            <w:shd w:val="clear" w:color="auto" w:fill="DAEEF3" w:themeFill="accent5" w:themeFillTint="33"/>
          </w:tcPr>
          <w:p w:rsidR="005558D0" w:rsidRPr="0078322B" w:rsidRDefault="005558D0" w:rsidP="00891D25">
            <w:pPr>
              <w:pStyle w:val="Odstavecseseznamem"/>
              <w:keepNext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 xml:space="preserve">Počet internetových stránek – důkladné sledování </w:t>
            </w:r>
          </w:p>
        </w:tc>
      </w:tr>
      <w:tr w:rsidR="005558D0" w:rsidRPr="0078322B" w:rsidTr="00996566">
        <w:tc>
          <w:tcPr>
            <w:tcW w:w="8347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24</w:t>
            </w:r>
          </w:p>
        </w:tc>
      </w:tr>
    </w:tbl>
    <w:p w:rsidR="005558D0" w:rsidRPr="0078322B" w:rsidRDefault="005558D0" w:rsidP="005558D0">
      <w:pPr>
        <w:rPr>
          <w:rFonts w:cs="Arial"/>
          <w:b/>
          <w:i/>
          <w:szCs w:val="24"/>
        </w:rPr>
      </w:pPr>
    </w:p>
    <w:tbl>
      <w:tblPr>
        <w:tblStyle w:val="Mkatabulky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5558D0" w:rsidRPr="0078322B" w:rsidTr="0078322B">
        <w:tc>
          <w:tcPr>
            <w:tcW w:w="8347" w:type="dxa"/>
            <w:shd w:val="clear" w:color="auto" w:fill="DAEEF3" w:themeFill="accent5" w:themeFillTint="33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lastRenderedPageBreak/>
              <w:t>Počet mobilních aplikací – důkladné sledování</w:t>
            </w:r>
          </w:p>
        </w:tc>
      </w:tr>
      <w:tr w:rsidR="005558D0" w:rsidRPr="0078322B" w:rsidTr="007378C2">
        <w:trPr>
          <w:trHeight w:val="321"/>
        </w:trPr>
        <w:tc>
          <w:tcPr>
            <w:tcW w:w="8347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17</w:t>
            </w:r>
          </w:p>
        </w:tc>
      </w:tr>
    </w:tbl>
    <w:p w:rsidR="005558D0" w:rsidRDefault="007A184C" w:rsidP="00891D25">
      <w:pPr>
        <w:pStyle w:val="Odstavecseseznamem"/>
        <w:numPr>
          <w:ilvl w:val="0"/>
          <w:numId w:val="10"/>
        </w:numPr>
        <w:spacing w:before="240" w:after="160" w:line="259" w:lineRule="auto"/>
        <w:ind w:left="714" w:hanging="357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P</w:t>
      </w:r>
      <w:r w:rsidR="005558D0" w:rsidRPr="0078322B">
        <w:rPr>
          <w:rFonts w:cs="Arial"/>
          <w:b/>
          <w:i/>
          <w:szCs w:val="24"/>
        </w:rPr>
        <w:t>očet sledovaných internetových stránek z každé ze čtyř kategorií uvedených v bodě 2.2.2 přílohy I.</w:t>
      </w:r>
    </w:p>
    <w:p w:rsidR="00227AFB" w:rsidRPr="00227AFB" w:rsidRDefault="00227AFB" w:rsidP="00227AFB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72" w:name="_Toc91066227"/>
      <w:r w:rsidRPr="00227AFB">
        <w:rPr>
          <w:rFonts w:cs="Arial"/>
          <w:i w:val="0"/>
          <w:color w:val="auto"/>
          <w:sz w:val="20"/>
        </w:rPr>
        <w:t>Tabulka</w:t>
      </w:r>
      <w:r w:rsidR="003B7032">
        <w:rPr>
          <w:rFonts w:cs="Arial"/>
          <w:i w:val="0"/>
          <w:color w:val="auto"/>
          <w:sz w:val="20"/>
        </w:rPr>
        <w:t xml:space="preserve"> č.</w:t>
      </w:r>
      <w:r w:rsidR="003B7032" w:rsidRPr="00227AFB">
        <w:rPr>
          <w:rFonts w:cs="Arial"/>
          <w:i w:val="0"/>
          <w:color w:val="auto"/>
          <w:sz w:val="20"/>
        </w:rPr>
        <w:t xml:space="preserve">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6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</w:t>
      </w:r>
      <w:r>
        <w:rPr>
          <w:rFonts w:cs="Arial"/>
          <w:i w:val="0"/>
          <w:color w:val="auto"/>
          <w:sz w:val="20"/>
        </w:rPr>
        <w:t xml:space="preserve"> P</w:t>
      </w:r>
      <w:r w:rsidRPr="00227AFB">
        <w:rPr>
          <w:rFonts w:cs="Arial"/>
          <w:i w:val="0"/>
          <w:color w:val="auto"/>
          <w:sz w:val="20"/>
        </w:rPr>
        <w:t xml:space="preserve">očet internetových stránek </w:t>
      </w:r>
      <w:r>
        <w:rPr>
          <w:rFonts w:cs="Arial"/>
          <w:i w:val="0"/>
          <w:color w:val="auto"/>
          <w:sz w:val="20"/>
        </w:rPr>
        <w:t>z každé ze čtyř kategorií uvedených v bodě 2.2.2</w:t>
      </w:r>
      <w:bookmarkEnd w:id="72"/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0"/>
      </w:tblGrid>
      <w:tr w:rsidR="005558D0" w:rsidRPr="0078322B" w:rsidTr="0078322B">
        <w:tc>
          <w:tcPr>
            <w:tcW w:w="3827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spacing w:line="264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</w:t>
            </w:r>
            <w:r w:rsidR="005558D0" w:rsidRPr="0078322B">
              <w:rPr>
                <w:rFonts w:cs="Arial"/>
                <w:szCs w:val="24"/>
              </w:rPr>
              <w:t xml:space="preserve">ategorie </w:t>
            </w:r>
          </w:p>
        </w:tc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spacing w:line="264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5558D0" w:rsidRPr="0078322B">
              <w:rPr>
                <w:rFonts w:cs="Arial"/>
                <w:szCs w:val="24"/>
              </w:rPr>
              <w:t>očet sledovaných internetových stránek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celostátní internetové stránky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90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regionální internetové stránky (NUTS1, NUTS2,NUTS3)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25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místní internetové stránky (LAU1, LAU2)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195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 xml:space="preserve">internetové stránky veřejnoprávních subjektů, které nepatří do kategorie a) až c) 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0</w:t>
            </w:r>
          </w:p>
        </w:tc>
      </w:tr>
    </w:tbl>
    <w:p w:rsidR="005558D0" w:rsidRDefault="007A184C" w:rsidP="00891D25">
      <w:pPr>
        <w:pStyle w:val="Odstavecseseznamem"/>
        <w:numPr>
          <w:ilvl w:val="0"/>
          <w:numId w:val="10"/>
        </w:numPr>
        <w:spacing w:before="240" w:after="160" w:line="259" w:lineRule="auto"/>
        <w:ind w:left="714" w:hanging="357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R</w:t>
      </w:r>
      <w:r w:rsidR="005558D0" w:rsidRPr="0078322B">
        <w:rPr>
          <w:rFonts w:cs="Arial"/>
          <w:b/>
          <w:i/>
          <w:szCs w:val="24"/>
        </w:rPr>
        <w:t>ozložení vzorku internetových stránek, tak aby reprezentoval škálu veřejných služeb (jak požaduje bod 2.2.3 přílohy I.)</w:t>
      </w:r>
    </w:p>
    <w:p w:rsidR="00227AFB" w:rsidRPr="00227AFB" w:rsidRDefault="00227AFB" w:rsidP="00227AFB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73" w:name="_Toc91066228"/>
      <w:r w:rsidRPr="00227AFB">
        <w:rPr>
          <w:rFonts w:cs="Arial"/>
          <w:i w:val="0"/>
          <w:color w:val="auto"/>
          <w:sz w:val="20"/>
        </w:rPr>
        <w:t>Tabulka</w:t>
      </w:r>
      <w:r w:rsidR="003B7032">
        <w:rPr>
          <w:rFonts w:cs="Arial"/>
          <w:i w:val="0"/>
          <w:color w:val="auto"/>
          <w:sz w:val="20"/>
        </w:rPr>
        <w:t xml:space="preserve"> č.</w:t>
      </w:r>
      <w:r w:rsidRPr="00227AFB">
        <w:rPr>
          <w:rFonts w:cs="Arial"/>
          <w:i w:val="0"/>
          <w:color w:val="auto"/>
          <w:sz w:val="20"/>
        </w:rPr>
        <w:t xml:space="preserve">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7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</w:t>
      </w:r>
      <w:r>
        <w:rPr>
          <w:rFonts w:cs="Arial"/>
          <w:i w:val="0"/>
          <w:color w:val="auto"/>
          <w:sz w:val="20"/>
        </w:rPr>
        <w:t xml:space="preserve"> Rozložení vzorku </w:t>
      </w:r>
      <w:r w:rsidRPr="00227AFB">
        <w:rPr>
          <w:rFonts w:cs="Arial"/>
          <w:i w:val="0"/>
          <w:color w:val="auto"/>
          <w:sz w:val="20"/>
        </w:rPr>
        <w:t xml:space="preserve">internetových stránek </w:t>
      </w:r>
      <w:r>
        <w:rPr>
          <w:rFonts w:cs="Arial"/>
          <w:i w:val="0"/>
          <w:color w:val="auto"/>
          <w:sz w:val="20"/>
        </w:rPr>
        <w:t>reprezentující škálu veřejných služeb</w:t>
      </w:r>
      <w:bookmarkEnd w:id="73"/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0"/>
      </w:tblGrid>
      <w:tr w:rsidR="005558D0" w:rsidRPr="0078322B" w:rsidTr="0078322B">
        <w:tc>
          <w:tcPr>
            <w:tcW w:w="3827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spacing w:line="264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Š</w:t>
            </w:r>
            <w:r w:rsidR="005558D0" w:rsidRPr="0078322B">
              <w:rPr>
                <w:rFonts w:cs="Arial"/>
                <w:szCs w:val="24"/>
              </w:rPr>
              <w:t>kála veřejných služeb</w:t>
            </w:r>
          </w:p>
        </w:tc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spacing w:line="264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5558D0" w:rsidRPr="0078322B">
              <w:rPr>
                <w:rFonts w:cs="Arial"/>
                <w:szCs w:val="24"/>
              </w:rPr>
              <w:t>očet sledovaných internetových stránek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sociální ochrana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13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zdravotnictví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20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doprava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10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vzdělání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42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zaměstnanost a daně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5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ochrana životního prostředí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10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lastRenderedPageBreak/>
              <w:t>rekreace a kultura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18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bydlení a veřejná infrastruktura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veřejný pořádek a bezpečnost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10</w:t>
            </w:r>
          </w:p>
        </w:tc>
      </w:tr>
      <w:tr w:rsidR="005558D0" w:rsidRPr="0078322B" w:rsidTr="00996566">
        <w:tc>
          <w:tcPr>
            <w:tcW w:w="3827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další (obecní úřad, městské úřady, krajské úřady, a jiné)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spacing w:line="264" w:lineRule="auto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181</w:t>
            </w:r>
          </w:p>
        </w:tc>
      </w:tr>
    </w:tbl>
    <w:p w:rsidR="005558D0" w:rsidRDefault="007A184C" w:rsidP="00891D25">
      <w:pPr>
        <w:pStyle w:val="Odstavecseseznamem"/>
        <w:numPr>
          <w:ilvl w:val="0"/>
          <w:numId w:val="10"/>
        </w:numPr>
        <w:spacing w:before="240" w:after="160" w:line="259" w:lineRule="auto"/>
        <w:ind w:left="714" w:hanging="357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R</w:t>
      </w:r>
      <w:r w:rsidR="005558D0" w:rsidRPr="0078322B">
        <w:rPr>
          <w:rFonts w:cs="Arial"/>
          <w:b/>
          <w:i/>
          <w:szCs w:val="24"/>
        </w:rPr>
        <w:t>ozložení vzorku mobilních aplikací, tak aby zahrnoval různé operační systémy (jak požaduje bod 2.3.3 přílohy I.</w:t>
      </w:r>
    </w:p>
    <w:p w:rsidR="00227AFB" w:rsidRPr="00227AFB" w:rsidRDefault="00227AFB" w:rsidP="00227AFB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74" w:name="_Toc91066229"/>
      <w:r w:rsidRPr="00227AFB">
        <w:rPr>
          <w:rFonts w:cs="Arial"/>
          <w:i w:val="0"/>
          <w:color w:val="auto"/>
          <w:sz w:val="20"/>
        </w:rPr>
        <w:t xml:space="preserve">Tabulka </w:t>
      </w:r>
      <w:r w:rsidR="003B7032"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8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–</w:t>
      </w:r>
      <w:r>
        <w:rPr>
          <w:rFonts w:cs="Arial"/>
          <w:i w:val="0"/>
          <w:color w:val="auto"/>
          <w:sz w:val="20"/>
        </w:rPr>
        <w:t xml:space="preserve"> Rozložení vzorku mobilních aplikací</w:t>
      </w:r>
      <w:r w:rsidRPr="00227AFB">
        <w:rPr>
          <w:rFonts w:cs="Arial"/>
          <w:i w:val="0"/>
          <w:color w:val="auto"/>
          <w:sz w:val="20"/>
        </w:rPr>
        <w:t xml:space="preserve"> </w:t>
      </w:r>
      <w:r>
        <w:rPr>
          <w:rFonts w:cs="Arial"/>
          <w:i w:val="0"/>
          <w:color w:val="auto"/>
          <w:sz w:val="20"/>
        </w:rPr>
        <w:t>reprezentující různé operační systémy</w:t>
      </w:r>
      <w:bookmarkEnd w:id="74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51"/>
        <w:gridCol w:w="4190"/>
      </w:tblGrid>
      <w:tr w:rsidR="005558D0" w:rsidRPr="0078322B" w:rsidTr="0078322B"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</w:t>
            </w:r>
            <w:r w:rsidR="005558D0" w:rsidRPr="0078322B">
              <w:rPr>
                <w:rFonts w:cs="Arial"/>
                <w:szCs w:val="24"/>
              </w:rPr>
              <w:t>perační systémy</w:t>
            </w:r>
          </w:p>
        </w:tc>
        <w:tc>
          <w:tcPr>
            <w:tcW w:w="4531" w:type="dxa"/>
            <w:shd w:val="clear" w:color="auto" w:fill="DAEEF3" w:themeFill="accent5" w:themeFillTint="33"/>
          </w:tcPr>
          <w:p w:rsidR="005558D0" w:rsidRPr="0078322B" w:rsidRDefault="001B6B74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5558D0" w:rsidRPr="0078322B">
              <w:rPr>
                <w:rFonts w:cs="Arial"/>
                <w:szCs w:val="24"/>
              </w:rPr>
              <w:t>očet sledovaných mobilních aplikací</w:t>
            </w:r>
          </w:p>
        </w:tc>
      </w:tr>
      <w:tr w:rsidR="005558D0" w:rsidRPr="0078322B" w:rsidTr="00996566">
        <w:tc>
          <w:tcPr>
            <w:tcW w:w="4531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android</w:t>
            </w:r>
          </w:p>
        </w:tc>
        <w:tc>
          <w:tcPr>
            <w:tcW w:w="4531" w:type="dxa"/>
          </w:tcPr>
          <w:p w:rsidR="005558D0" w:rsidRPr="0078322B" w:rsidRDefault="005558D0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78322B">
              <w:rPr>
                <w:rFonts w:cs="Arial"/>
                <w:szCs w:val="24"/>
              </w:rPr>
              <w:t>17</w:t>
            </w:r>
          </w:p>
        </w:tc>
      </w:tr>
    </w:tbl>
    <w:p w:rsidR="005558D0" w:rsidRPr="00E4422F" w:rsidRDefault="00E4422F" w:rsidP="00E4422F">
      <w:pPr>
        <w:ind w:firstLine="708"/>
        <w:rPr>
          <w:rFonts w:cs="Arial"/>
          <w:sz w:val="20"/>
          <w:szCs w:val="24"/>
        </w:rPr>
      </w:pPr>
      <w:r w:rsidRPr="00E4422F">
        <w:rPr>
          <w:rFonts w:cs="Arial"/>
          <w:b/>
          <w:i/>
          <w:sz w:val="20"/>
          <w:szCs w:val="24"/>
        </w:rPr>
        <w:t>*</w:t>
      </w:r>
      <w:r w:rsidRPr="00E4422F">
        <w:rPr>
          <w:rFonts w:cs="Arial"/>
          <w:sz w:val="20"/>
          <w:szCs w:val="24"/>
        </w:rPr>
        <w:t>OIS nebylo možné kontrolovat z důvodu absence dostupné techniky</w:t>
      </w:r>
    </w:p>
    <w:p w:rsidR="00C2131A" w:rsidRPr="00891D25" w:rsidRDefault="00C2131A" w:rsidP="00891D25">
      <w:pPr>
        <w:pStyle w:val="Nadpis1"/>
      </w:pPr>
      <w:bookmarkStart w:id="75" w:name="_Toc91065707"/>
      <w:bookmarkStart w:id="76" w:name="_Toc91065825"/>
      <w:bookmarkStart w:id="77" w:name="_Toc91065898"/>
      <w:bookmarkStart w:id="78" w:name="_Toc91066059"/>
      <w:bookmarkStart w:id="79" w:name="_Toc91067506"/>
      <w:bookmarkStart w:id="80" w:name="_Toc91067507"/>
      <w:bookmarkEnd w:id="75"/>
      <w:bookmarkEnd w:id="76"/>
      <w:bookmarkEnd w:id="77"/>
      <w:bookmarkEnd w:id="78"/>
      <w:bookmarkEnd w:id="79"/>
      <w:r w:rsidRPr="00891D25">
        <w:t>Podrobné výsledky</w:t>
      </w:r>
      <w:bookmarkEnd w:id="80"/>
    </w:p>
    <w:p w:rsidR="007A184C" w:rsidRPr="00891D25" w:rsidRDefault="007A184C" w:rsidP="00891D25">
      <w:pPr>
        <w:pStyle w:val="Nadpis2"/>
      </w:pPr>
      <w:bookmarkStart w:id="81" w:name="_Toc91065709"/>
      <w:bookmarkStart w:id="82" w:name="_Toc91065827"/>
      <w:bookmarkStart w:id="83" w:name="_Toc91065900"/>
      <w:bookmarkStart w:id="84" w:name="_Toc91066061"/>
      <w:bookmarkStart w:id="85" w:name="_Toc91067508"/>
      <w:bookmarkStart w:id="86" w:name="_Toc91067509"/>
      <w:bookmarkEnd w:id="81"/>
      <w:bookmarkEnd w:id="82"/>
      <w:bookmarkEnd w:id="83"/>
      <w:bookmarkEnd w:id="84"/>
      <w:bookmarkEnd w:id="85"/>
      <w:r w:rsidRPr="00891D25">
        <w:t>Výsledky sledování</w:t>
      </w:r>
      <w:bookmarkEnd w:id="86"/>
    </w:p>
    <w:p w:rsidR="00C30977" w:rsidRDefault="00EC1416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Při kontrole internetových st</w:t>
      </w:r>
      <w:r w:rsidR="007A184C">
        <w:rPr>
          <w:rFonts w:cs="Arial"/>
          <w:szCs w:val="24"/>
        </w:rPr>
        <w:t>ránek zjednodušenou metodou byla ověřována</w:t>
      </w:r>
      <w:r>
        <w:rPr>
          <w:rFonts w:cs="Arial"/>
          <w:szCs w:val="24"/>
        </w:rPr>
        <w:t xml:space="preserve"> všechna kritéria úspěšnosti úrovně A-AA</w:t>
      </w:r>
      <w:r w:rsidR="00C30977">
        <w:rPr>
          <w:rFonts w:cs="Arial"/>
          <w:szCs w:val="24"/>
        </w:rPr>
        <w:t xml:space="preserve"> uveden</w:t>
      </w:r>
      <w:r w:rsidR="008F4507">
        <w:rPr>
          <w:rFonts w:cs="Arial"/>
          <w:szCs w:val="24"/>
        </w:rPr>
        <w:t>á v normě</w:t>
      </w:r>
      <w:r w:rsidR="007A184C">
        <w:rPr>
          <w:rFonts w:cs="Arial"/>
          <w:szCs w:val="24"/>
        </w:rPr>
        <w:t xml:space="preserve"> </w:t>
      </w:r>
      <w:bookmarkStart w:id="87" w:name="_GoBack"/>
      <w:bookmarkEnd w:id="87"/>
      <w:r w:rsidR="007A184C">
        <w:rPr>
          <w:rFonts w:cs="Arial"/>
          <w:szCs w:val="24"/>
        </w:rPr>
        <w:t>WCAG 2.1</w:t>
      </w:r>
      <w:r w:rsidR="007A184C">
        <w:rPr>
          <w:rStyle w:val="Znakapoznpodarou"/>
          <w:rFonts w:cs="Arial"/>
          <w:szCs w:val="24"/>
        </w:rPr>
        <w:footnoteReference w:id="3"/>
      </w:r>
      <w:r w:rsidR="007A184C">
        <w:rPr>
          <w:rFonts w:cs="Arial"/>
          <w:szCs w:val="24"/>
        </w:rPr>
        <w:t>. Při </w:t>
      </w:r>
      <w:r>
        <w:rPr>
          <w:rFonts w:cs="Arial"/>
          <w:szCs w:val="24"/>
        </w:rPr>
        <w:t xml:space="preserve">zjednodušené kontrole se </w:t>
      </w:r>
      <w:r w:rsidR="00C30977">
        <w:rPr>
          <w:rFonts w:cs="Arial"/>
          <w:szCs w:val="24"/>
        </w:rPr>
        <w:t>kromě domovské stránky kontrolovalo více stránek, přičemž jejich počet byl zohledněn velikostí a složitostí internetové stránky.</w:t>
      </w:r>
    </w:p>
    <w:p w:rsidR="00C30977" w:rsidRDefault="00C30977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Při kontrole internetových stránek metodou důkladného sledování, byly kromě hlavní stránky kontrolovány i následující stránky, pokud existovaly: </w:t>
      </w:r>
    </w:p>
    <w:p w:rsidR="00C30977" w:rsidRPr="00C30977" w:rsidRDefault="00C30977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 w:rsidRPr="00C30977">
        <w:rPr>
          <w:rFonts w:cs="Arial"/>
          <w:szCs w:val="24"/>
        </w:rPr>
        <w:t xml:space="preserve">domovská stránka, přihlašovací stránka, mapa stránek, stránka s kontaktními údaji, stránka s vysvětlivkami, stránka s právními </w:t>
      </w:r>
      <w:r>
        <w:rPr>
          <w:rFonts w:cs="Arial"/>
          <w:szCs w:val="24"/>
        </w:rPr>
        <w:t>informacemi;</w:t>
      </w:r>
    </w:p>
    <w:p w:rsidR="00C30977" w:rsidRPr="00C30977" w:rsidRDefault="00C30977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 w:rsidRPr="00C30977">
        <w:rPr>
          <w:rFonts w:cs="Arial"/>
          <w:szCs w:val="24"/>
        </w:rPr>
        <w:t>stránky, které obsahují prohlášení o přístupnosti</w:t>
      </w:r>
      <w:r w:rsidR="002F7918">
        <w:rPr>
          <w:rFonts w:cs="Arial"/>
          <w:szCs w:val="24"/>
        </w:rPr>
        <w:t>;</w:t>
      </w:r>
    </w:p>
    <w:p w:rsidR="00C30977" w:rsidRPr="00C30977" w:rsidRDefault="00C30977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 w:rsidRPr="00C30977">
        <w:rPr>
          <w:rFonts w:cs="Arial"/>
          <w:szCs w:val="24"/>
        </w:rPr>
        <w:lastRenderedPageBreak/>
        <w:t>stránky, které mají nestandardní vzhled nebo představují odlišný typ obsahu</w:t>
      </w:r>
      <w:r w:rsidR="002F7918">
        <w:rPr>
          <w:rFonts w:cs="Arial"/>
          <w:szCs w:val="24"/>
        </w:rPr>
        <w:t>;</w:t>
      </w:r>
    </w:p>
    <w:p w:rsidR="00C30977" w:rsidRPr="00C30977" w:rsidRDefault="00C30977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 w:rsidRPr="00C30977">
        <w:rPr>
          <w:rFonts w:cs="Arial"/>
          <w:szCs w:val="24"/>
        </w:rPr>
        <w:t>alespoň jeden relevantní dokument</w:t>
      </w:r>
      <w:r w:rsidR="002F7918">
        <w:rPr>
          <w:rFonts w:cs="Arial"/>
          <w:szCs w:val="24"/>
        </w:rPr>
        <w:t>;</w:t>
      </w:r>
    </w:p>
    <w:p w:rsidR="00C30977" w:rsidRDefault="00C30977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 w:rsidRPr="00C30977">
        <w:rPr>
          <w:rFonts w:cs="Arial"/>
          <w:szCs w:val="24"/>
        </w:rPr>
        <w:t>jakákoli jiná stránka, kterou orgán provádějící sledování povazuje za relevantní</w:t>
      </w:r>
      <w:r w:rsidR="002F7918">
        <w:rPr>
          <w:rFonts w:cs="Arial"/>
          <w:szCs w:val="24"/>
        </w:rPr>
        <w:t>;</w:t>
      </w:r>
    </w:p>
    <w:p w:rsidR="004F128A" w:rsidRPr="004F128A" w:rsidRDefault="002F7918" w:rsidP="00E26559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namátkou vybrané stránky, které představují alespoň 10</w:t>
      </w:r>
      <w:r w:rsidR="009B23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% vzorku z uvedených stránek.</w:t>
      </w:r>
    </w:p>
    <w:p w:rsidR="004F128A" w:rsidRPr="004F128A" w:rsidRDefault="004F128A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Při důkladném sledování mobilních aplikací </w:t>
      </w:r>
      <w:r w:rsidR="007A184C">
        <w:rPr>
          <w:rFonts w:cs="Arial"/>
          <w:szCs w:val="24"/>
        </w:rPr>
        <w:t>byla ověřována</w:t>
      </w:r>
      <w:r>
        <w:rPr>
          <w:rFonts w:cs="Arial"/>
          <w:szCs w:val="24"/>
        </w:rPr>
        <w:t xml:space="preserve"> všechna kritéria úrovně A-AA uvedené v normě WCAG 2.1. Kromě domovské obrazovky byly kontrolovány další položky menu, případně dokumenty určené ke stažení. </w:t>
      </w:r>
    </w:p>
    <w:p w:rsidR="00EC1416" w:rsidRDefault="00EC1416" w:rsidP="00EC1416">
      <w:pPr>
        <w:pStyle w:val="Titulek"/>
        <w:ind w:left="720"/>
        <w:rPr>
          <w:rFonts w:cs="Arial"/>
          <w:i w:val="0"/>
          <w:color w:val="auto"/>
          <w:sz w:val="20"/>
        </w:rPr>
      </w:pPr>
      <w:bookmarkStart w:id="88" w:name="_Toc91066230"/>
      <w:r w:rsidRPr="00227AFB">
        <w:rPr>
          <w:rFonts w:cs="Arial"/>
          <w:i w:val="0"/>
          <w:color w:val="auto"/>
          <w:sz w:val="20"/>
        </w:rPr>
        <w:t xml:space="preserve">Tabulka </w:t>
      </w:r>
      <w:r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9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</w:t>
      </w:r>
      <w:r>
        <w:rPr>
          <w:rFonts w:cs="Arial"/>
          <w:i w:val="0"/>
          <w:color w:val="auto"/>
          <w:sz w:val="20"/>
        </w:rPr>
        <w:t>– Výsledky sledování a údaje z</w:t>
      </w:r>
      <w:r w:rsidR="007A184C">
        <w:rPr>
          <w:rFonts w:cs="Arial"/>
          <w:i w:val="0"/>
          <w:color w:val="auto"/>
          <w:sz w:val="20"/>
        </w:rPr>
        <w:t> </w:t>
      </w:r>
      <w:r>
        <w:rPr>
          <w:rFonts w:cs="Arial"/>
          <w:i w:val="0"/>
          <w:color w:val="auto"/>
          <w:sz w:val="20"/>
        </w:rPr>
        <w:t>měření</w:t>
      </w:r>
      <w:bookmarkEnd w:id="88"/>
    </w:p>
    <w:tbl>
      <w:tblPr>
        <w:tblStyle w:val="Mkatabulky"/>
        <w:tblW w:w="9090" w:type="dxa"/>
        <w:tblInd w:w="-5" w:type="dxa"/>
        <w:tblLook w:val="04A0" w:firstRow="1" w:lastRow="0" w:firstColumn="1" w:lastColumn="0" w:noHBand="0" w:noVBand="1"/>
      </w:tblPr>
      <w:tblGrid>
        <w:gridCol w:w="3150"/>
        <w:gridCol w:w="2970"/>
        <w:gridCol w:w="2970"/>
      </w:tblGrid>
      <w:tr w:rsidR="007A184C" w:rsidRPr="001B6B74" w:rsidTr="0022417D">
        <w:tc>
          <w:tcPr>
            <w:tcW w:w="315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891D25">
              <w:rPr>
                <w:rFonts w:cs="Arial"/>
                <w:b/>
                <w:szCs w:val="24"/>
              </w:rPr>
              <w:t>Internetové stránky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1B6B74">
              <w:rPr>
                <w:rFonts w:cs="Arial"/>
                <w:b/>
                <w:szCs w:val="24"/>
              </w:rPr>
              <w:t>Zjednodušená metoda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1B6B74">
              <w:rPr>
                <w:rFonts w:cs="Arial"/>
                <w:b/>
                <w:szCs w:val="24"/>
              </w:rPr>
              <w:t>Důkladná metoda</w:t>
            </w:r>
          </w:p>
        </w:tc>
      </w:tr>
      <w:tr w:rsidR="007A184C" w:rsidRPr="001B6B74" w:rsidTr="0022417D">
        <w:tc>
          <w:tcPr>
            <w:tcW w:w="3150" w:type="dxa"/>
          </w:tcPr>
          <w:p w:rsidR="007A184C" w:rsidRPr="001B6B74" w:rsidRDefault="007A184C" w:rsidP="00891D25">
            <w:pPr>
              <w:pStyle w:val="FormtovanvHTML"/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1B6B74">
              <w:rPr>
                <w:rStyle w:val="y2iqfc"/>
                <w:rFonts w:ascii="Arial" w:eastAsiaTheme="majorEastAsia" w:hAnsi="Arial" w:cs="Arial"/>
                <w:sz w:val="24"/>
                <w:szCs w:val="24"/>
              </w:rPr>
              <w:t>Nejčastější chybovost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68 % - 1.4.3 Minimální kontrast</w:t>
            </w:r>
          </w:p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 xml:space="preserve">43 % - 1.3.1 Informace </w:t>
            </w:r>
            <w:r w:rsidRPr="001B6B74">
              <w:rPr>
                <w:rFonts w:cs="Arial"/>
                <w:szCs w:val="24"/>
              </w:rPr>
              <w:br/>
              <w:t>a vzájemné vztahy</w:t>
            </w:r>
          </w:p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42 % - 2.4.4 Účel odkazu (v kontextu)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58 % -1.4.3 Minimální kontrast</w:t>
            </w:r>
          </w:p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54 % - 2.4.4 Účel odkazu (v kontextu)</w:t>
            </w:r>
          </w:p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 xml:space="preserve">46 % - 1.1.1 Netextový obsah </w:t>
            </w:r>
          </w:p>
        </w:tc>
      </w:tr>
      <w:tr w:rsidR="007A184C" w:rsidRPr="001B6B74" w:rsidTr="0022417D">
        <w:tc>
          <w:tcPr>
            <w:tcW w:w="3150" w:type="dxa"/>
          </w:tcPr>
          <w:p w:rsidR="007A184C" w:rsidRPr="00891D25" w:rsidRDefault="007A184C" w:rsidP="00891D25">
            <w:pPr>
              <w:pStyle w:val="FormtovanvHTML"/>
              <w:spacing w:after="12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D25">
              <w:rPr>
                <w:rStyle w:val="y2iqfc"/>
                <w:rFonts w:ascii="Arial" w:eastAsiaTheme="majorEastAsia" w:hAnsi="Arial" w:cs="Arial"/>
                <w:sz w:val="24"/>
                <w:szCs w:val="24"/>
              </w:rPr>
              <w:t>Neshoda v prohlášení o přístupnosti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198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16</w:t>
            </w:r>
          </w:p>
        </w:tc>
      </w:tr>
      <w:tr w:rsidR="007A184C" w:rsidRPr="001B6B74" w:rsidTr="0022417D">
        <w:tc>
          <w:tcPr>
            <w:tcW w:w="315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891D25">
              <w:rPr>
                <w:rFonts w:cs="Arial"/>
                <w:b/>
                <w:szCs w:val="24"/>
              </w:rPr>
              <w:t>Mobilní aplikace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1B6B74">
              <w:rPr>
                <w:rFonts w:cs="Arial"/>
                <w:b/>
                <w:szCs w:val="24"/>
              </w:rPr>
              <w:t>Zjednodušená metoda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1B6B74">
              <w:rPr>
                <w:rFonts w:cs="Arial"/>
                <w:b/>
                <w:szCs w:val="24"/>
              </w:rPr>
              <w:t>Důkladná metoda</w:t>
            </w:r>
          </w:p>
        </w:tc>
      </w:tr>
      <w:tr w:rsidR="007A184C" w:rsidRPr="001B6B74" w:rsidTr="0022417D">
        <w:tc>
          <w:tcPr>
            <w:tcW w:w="3150" w:type="dxa"/>
          </w:tcPr>
          <w:p w:rsidR="007A184C" w:rsidRPr="00891D25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b/>
                <w:szCs w:val="24"/>
              </w:rPr>
            </w:pPr>
            <w:r w:rsidRPr="001B6B74">
              <w:rPr>
                <w:rStyle w:val="y2iqfc"/>
                <w:rFonts w:cs="Arial"/>
                <w:szCs w:val="24"/>
              </w:rPr>
              <w:t>Nejčastější chybovost</w:t>
            </w:r>
            <w:r w:rsidRPr="00891D25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nelze aplikovat *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71</w:t>
            </w:r>
            <w:r w:rsidR="009B230A" w:rsidRPr="001B6B74">
              <w:rPr>
                <w:rFonts w:cs="Arial"/>
                <w:szCs w:val="24"/>
              </w:rPr>
              <w:t xml:space="preserve"> </w:t>
            </w:r>
            <w:r w:rsidRPr="001B6B74">
              <w:rPr>
                <w:rFonts w:cs="Arial"/>
                <w:szCs w:val="24"/>
              </w:rPr>
              <w:t>% - 1.4.3 Minimální kontrast</w:t>
            </w:r>
          </w:p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41</w:t>
            </w:r>
            <w:r w:rsidR="009B230A" w:rsidRPr="001B6B74">
              <w:rPr>
                <w:rFonts w:cs="Arial"/>
                <w:szCs w:val="24"/>
              </w:rPr>
              <w:t xml:space="preserve"> </w:t>
            </w:r>
            <w:r w:rsidRPr="001B6B74">
              <w:rPr>
                <w:rFonts w:cs="Arial"/>
                <w:szCs w:val="24"/>
              </w:rPr>
              <w:t xml:space="preserve">% - 1.3.1 Informace </w:t>
            </w:r>
            <w:r w:rsidRPr="001B6B74">
              <w:rPr>
                <w:rFonts w:cs="Arial"/>
                <w:szCs w:val="24"/>
              </w:rPr>
              <w:br/>
              <w:t>a vzájemné vztahy</w:t>
            </w:r>
          </w:p>
        </w:tc>
      </w:tr>
      <w:tr w:rsidR="007A184C" w:rsidRPr="001B6B74" w:rsidTr="0022417D">
        <w:tc>
          <w:tcPr>
            <w:tcW w:w="3150" w:type="dxa"/>
          </w:tcPr>
          <w:p w:rsidR="007A184C" w:rsidRPr="00891D25" w:rsidRDefault="007A184C" w:rsidP="00891D25">
            <w:pPr>
              <w:pStyle w:val="FormtovanvHTML"/>
              <w:spacing w:after="12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D25">
              <w:rPr>
                <w:rStyle w:val="y2iqfc"/>
                <w:rFonts w:ascii="Arial" w:eastAsiaTheme="majorEastAsia" w:hAnsi="Arial" w:cs="Arial"/>
                <w:sz w:val="24"/>
                <w:szCs w:val="24"/>
              </w:rPr>
              <w:t>Neshoda v prohlášení o přístupnosti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Style w:val="Zdraznn"/>
                <w:rFonts w:cs="Arial"/>
                <w:i w:val="0"/>
                <w:szCs w:val="24"/>
              </w:rPr>
            </w:pPr>
            <w:r w:rsidRPr="001B6B74">
              <w:rPr>
                <w:rStyle w:val="Zdraznn"/>
                <w:rFonts w:cs="Arial"/>
                <w:i w:val="0"/>
                <w:szCs w:val="24"/>
              </w:rPr>
              <w:t>nelze aplikovat *</w:t>
            </w:r>
          </w:p>
        </w:tc>
        <w:tc>
          <w:tcPr>
            <w:tcW w:w="2970" w:type="dxa"/>
          </w:tcPr>
          <w:p w:rsidR="007A184C" w:rsidRPr="001B6B74" w:rsidRDefault="007A184C" w:rsidP="00891D25">
            <w:pPr>
              <w:pStyle w:val="Odstavecseseznamem"/>
              <w:spacing w:line="264" w:lineRule="auto"/>
              <w:ind w:left="0"/>
              <w:contextualSpacing w:val="0"/>
              <w:rPr>
                <w:rFonts w:cs="Arial"/>
                <w:szCs w:val="24"/>
              </w:rPr>
            </w:pPr>
            <w:r w:rsidRPr="001B6B74">
              <w:rPr>
                <w:rFonts w:cs="Arial"/>
                <w:szCs w:val="24"/>
              </w:rPr>
              <w:t>15</w:t>
            </w:r>
          </w:p>
        </w:tc>
      </w:tr>
    </w:tbl>
    <w:p w:rsidR="00EC1416" w:rsidRDefault="00EC1416" w:rsidP="007A184C">
      <w:pPr>
        <w:jc w:val="both"/>
        <w:rPr>
          <w:rFonts w:cs="Arial"/>
          <w:i/>
          <w:sz w:val="20"/>
          <w:szCs w:val="24"/>
        </w:rPr>
      </w:pPr>
      <w:r>
        <w:rPr>
          <w:rFonts w:cs="Arial"/>
          <w:b/>
          <w:i/>
          <w:szCs w:val="24"/>
        </w:rPr>
        <w:t>*</w:t>
      </w:r>
      <w:r w:rsidRPr="00C86804">
        <w:rPr>
          <w:rFonts w:cs="Arial"/>
          <w:i/>
          <w:sz w:val="20"/>
          <w:szCs w:val="24"/>
        </w:rPr>
        <w:t xml:space="preserve">u mobilních aplikací je </w:t>
      </w:r>
      <w:r>
        <w:rPr>
          <w:rFonts w:cs="Arial"/>
          <w:i/>
          <w:sz w:val="20"/>
          <w:szCs w:val="24"/>
        </w:rPr>
        <w:t>využita pouze metoda důkladného</w:t>
      </w:r>
      <w:r w:rsidRPr="00C86804">
        <w:rPr>
          <w:rFonts w:cs="Arial"/>
          <w:i/>
          <w:sz w:val="20"/>
          <w:szCs w:val="24"/>
        </w:rPr>
        <w:t xml:space="preserve"> sledování</w:t>
      </w:r>
      <w:r>
        <w:rPr>
          <w:rFonts w:cs="Arial"/>
          <w:i/>
          <w:sz w:val="20"/>
          <w:szCs w:val="24"/>
        </w:rPr>
        <w:t xml:space="preserve"> </w:t>
      </w:r>
    </w:p>
    <w:p w:rsidR="007A184C" w:rsidRDefault="007A184C" w:rsidP="007A184C">
      <w:pPr>
        <w:spacing w:before="100" w:beforeAutospacing="1" w:after="100" w:afterAutospacing="1" w:line="360" w:lineRule="auto"/>
        <w:jc w:val="both"/>
        <w:rPr>
          <w:rFonts w:eastAsia="Times New Roman" w:cs="Arial"/>
          <w:szCs w:val="24"/>
          <w:lang w:eastAsia="cs-CZ"/>
        </w:rPr>
      </w:pPr>
      <w:r w:rsidRPr="00996566">
        <w:rPr>
          <w:rFonts w:eastAsia="Times New Roman" w:cs="Arial"/>
          <w:szCs w:val="24"/>
          <w:lang w:eastAsia="cs-CZ"/>
        </w:rPr>
        <w:t>U kontrolovaných subjektů byly nalezeny zejména nedostatky u povinnosti:</w:t>
      </w:r>
    </w:p>
    <w:p w:rsidR="007A184C" w:rsidRDefault="007A184C" w:rsidP="007A184C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eastAsia="Times New Roman" w:cs="Arial"/>
          <w:szCs w:val="24"/>
          <w:lang w:eastAsia="cs-CZ"/>
        </w:rPr>
      </w:pPr>
      <w:r w:rsidRPr="00E26559">
        <w:rPr>
          <w:rFonts w:eastAsia="Times New Roman" w:cs="Arial"/>
          <w:szCs w:val="24"/>
          <w:lang w:eastAsia="cs-CZ"/>
        </w:rPr>
        <w:lastRenderedPageBreak/>
        <w:t>zveřejnit a aktualizovat prohlášení o přístupnosti internetové stránky dle zákona o přístupnosti,</w:t>
      </w:r>
    </w:p>
    <w:p w:rsidR="007A184C" w:rsidRDefault="007A184C" w:rsidP="007A184C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eastAsia="Times New Roman" w:cs="Arial"/>
          <w:szCs w:val="24"/>
          <w:lang w:eastAsia="cs-CZ"/>
        </w:rPr>
      </w:pPr>
      <w:r w:rsidRPr="00E26559">
        <w:rPr>
          <w:rFonts w:eastAsia="Times New Roman" w:cs="Arial"/>
          <w:szCs w:val="24"/>
          <w:lang w:eastAsia="cs-CZ"/>
        </w:rPr>
        <w:t xml:space="preserve">učinit internetové stránky vnímatelnými - zejména </w:t>
      </w:r>
      <w:r>
        <w:rPr>
          <w:rFonts w:eastAsia="Times New Roman" w:cs="Arial"/>
          <w:szCs w:val="24"/>
          <w:lang w:eastAsia="cs-CZ"/>
        </w:rPr>
        <w:t xml:space="preserve">zajistit soulad </w:t>
      </w:r>
      <w:r>
        <w:rPr>
          <w:rFonts w:eastAsia="Times New Roman" w:cs="Arial"/>
          <w:szCs w:val="24"/>
          <w:lang w:eastAsia="cs-CZ"/>
        </w:rPr>
        <w:br/>
        <w:t xml:space="preserve">s </w:t>
      </w:r>
      <w:r w:rsidRPr="00E26559">
        <w:rPr>
          <w:rFonts w:eastAsia="Times New Roman" w:cs="Arial"/>
          <w:szCs w:val="24"/>
          <w:lang w:eastAsia="cs-CZ"/>
        </w:rPr>
        <w:t>kritéri</w:t>
      </w:r>
      <w:r>
        <w:rPr>
          <w:rFonts w:eastAsia="Times New Roman" w:cs="Arial"/>
          <w:szCs w:val="24"/>
          <w:lang w:eastAsia="cs-CZ"/>
        </w:rPr>
        <w:t>em</w:t>
      </w:r>
      <w:r w:rsidRPr="00E26559">
        <w:rPr>
          <w:rFonts w:eastAsia="Times New Roman" w:cs="Arial"/>
          <w:szCs w:val="24"/>
          <w:lang w:eastAsia="cs-CZ"/>
        </w:rPr>
        <w:t xml:space="preserve"> úspěšnosti 1.4.3 Minimální kontrast, 1.3.1 Informace </w:t>
      </w:r>
      <w:r>
        <w:rPr>
          <w:rFonts w:eastAsia="Times New Roman" w:cs="Arial"/>
          <w:szCs w:val="24"/>
          <w:lang w:eastAsia="cs-CZ"/>
        </w:rPr>
        <w:br/>
      </w:r>
      <w:r w:rsidRPr="00E26559">
        <w:rPr>
          <w:rFonts w:eastAsia="Times New Roman" w:cs="Arial"/>
          <w:szCs w:val="24"/>
          <w:lang w:eastAsia="cs-CZ"/>
        </w:rPr>
        <w:t>a vzájemné vztahy,</w:t>
      </w:r>
    </w:p>
    <w:p w:rsidR="007A184C" w:rsidRDefault="007A184C" w:rsidP="007A184C">
      <w:pPr>
        <w:pStyle w:val="Odstavecseseznamem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eastAsia="Times New Roman" w:cs="Arial"/>
          <w:szCs w:val="24"/>
          <w:lang w:eastAsia="cs-CZ"/>
        </w:rPr>
      </w:pPr>
      <w:r w:rsidRPr="00E26559">
        <w:rPr>
          <w:rFonts w:eastAsia="Times New Roman" w:cs="Arial"/>
          <w:szCs w:val="24"/>
          <w:lang w:eastAsia="cs-CZ"/>
        </w:rPr>
        <w:t xml:space="preserve">učinit internetové stránky ovladatelnými - zejména </w:t>
      </w:r>
      <w:r>
        <w:rPr>
          <w:rFonts w:eastAsia="Times New Roman" w:cs="Arial"/>
          <w:szCs w:val="24"/>
          <w:lang w:eastAsia="cs-CZ"/>
        </w:rPr>
        <w:t xml:space="preserve">zajistit soulad s </w:t>
      </w:r>
      <w:r w:rsidRPr="00E26559">
        <w:rPr>
          <w:rFonts w:eastAsia="Times New Roman" w:cs="Arial"/>
          <w:szCs w:val="24"/>
          <w:lang w:eastAsia="cs-CZ"/>
        </w:rPr>
        <w:t>kritéri</w:t>
      </w:r>
      <w:r>
        <w:rPr>
          <w:rFonts w:eastAsia="Times New Roman" w:cs="Arial"/>
          <w:szCs w:val="24"/>
          <w:lang w:eastAsia="cs-CZ"/>
        </w:rPr>
        <w:t>e</w:t>
      </w:r>
      <w:r w:rsidRPr="00E26559">
        <w:rPr>
          <w:rFonts w:eastAsia="Times New Roman" w:cs="Arial"/>
          <w:szCs w:val="24"/>
          <w:lang w:eastAsia="cs-CZ"/>
        </w:rPr>
        <w:t>m úspěšnosti 2.4.4 Účel odkazu (v kontextu).</w:t>
      </w:r>
    </w:p>
    <w:p w:rsidR="007A184C" w:rsidRPr="00891D25" w:rsidRDefault="007A184C" w:rsidP="00891D25">
      <w:pPr>
        <w:pStyle w:val="Nadpis2"/>
      </w:pPr>
      <w:bookmarkStart w:id="89" w:name="_Toc91065711"/>
      <w:bookmarkStart w:id="90" w:name="_Toc91065829"/>
      <w:bookmarkStart w:id="91" w:name="_Toc91065902"/>
      <w:bookmarkStart w:id="92" w:name="_Toc91066063"/>
      <w:bookmarkStart w:id="93" w:name="_Toc91067510"/>
      <w:bookmarkStart w:id="94" w:name="_Toc91067511"/>
      <w:bookmarkEnd w:id="89"/>
      <w:bookmarkEnd w:id="90"/>
      <w:bookmarkEnd w:id="91"/>
      <w:bookmarkEnd w:id="92"/>
      <w:bookmarkEnd w:id="93"/>
      <w:r w:rsidRPr="00891D25">
        <w:t xml:space="preserve">Vhodnost použitých metod kontroly k ověření souladu s požadavky </w:t>
      </w:r>
      <w:r w:rsidRPr="00891D25">
        <w:br/>
        <w:t>na přístupnost</w:t>
      </w:r>
      <w:bookmarkEnd w:id="94"/>
    </w:p>
    <w:p w:rsidR="00EC1416" w:rsidRDefault="00C2131A" w:rsidP="00E26559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Následující tabulka uvádí</w:t>
      </w:r>
      <w:r w:rsidR="00EC1416">
        <w:rPr>
          <w:rFonts w:cs="Arial"/>
          <w:szCs w:val="24"/>
        </w:rPr>
        <w:t xml:space="preserve"> přehled ve formě srovnávací tabulky, z něhož je zřejmé, jaké metody ověřují soulad s požadavky zakotvenými v normách a technických specifikacích uvedených v článku 6 směrnice (EU) 2016/2102.</w:t>
      </w:r>
    </w:p>
    <w:p w:rsidR="005558D0" w:rsidRPr="000268D3" w:rsidRDefault="00227AFB" w:rsidP="000268D3">
      <w:pPr>
        <w:pStyle w:val="Titulek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95" w:name="_Toc91066231"/>
      <w:r w:rsidRPr="00227AFB">
        <w:rPr>
          <w:rFonts w:cs="Arial"/>
          <w:i w:val="0"/>
          <w:color w:val="auto"/>
          <w:sz w:val="20"/>
        </w:rPr>
        <w:t xml:space="preserve">Tabulka </w:t>
      </w:r>
      <w:r w:rsidR="003B7032"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10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</w:t>
      </w:r>
      <w:r w:rsidR="000268D3">
        <w:rPr>
          <w:rFonts w:cs="Arial"/>
          <w:i w:val="0"/>
          <w:color w:val="auto"/>
          <w:sz w:val="20"/>
        </w:rPr>
        <w:t>– Internetové stránky - Srovnávací tabulka ověřující soulad s požadavky Harmonizované normy</w:t>
      </w:r>
      <w:bookmarkEnd w:id="95"/>
    </w:p>
    <w:tbl>
      <w:tblPr>
        <w:tblStyle w:val="TableNormal"/>
        <w:tblpPr w:leftFromText="141" w:rightFromText="141" w:vertAnchor="text" w:horzAnchor="margin" w:tblpXSpec="center" w:tblpY="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"/>
        <w:gridCol w:w="425"/>
        <w:gridCol w:w="425"/>
        <w:gridCol w:w="427"/>
        <w:gridCol w:w="1269"/>
        <w:gridCol w:w="1281"/>
        <w:gridCol w:w="1271"/>
        <w:gridCol w:w="1134"/>
      </w:tblGrid>
      <w:tr w:rsidR="00686E1C" w:rsidRPr="000262F9" w:rsidTr="007A184C">
        <w:trPr>
          <w:trHeight w:val="618"/>
        </w:trPr>
        <w:tc>
          <w:tcPr>
            <w:tcW w:w="2694" w:type="dxa"/>
            <w:vMerge w:val="restart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keepNext/>
              <w:widowControl/>
              <w:spacing w:before="10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Default="00686E1C" w:rsidP="00891D25">
            <w:pPr>
              <w:pStyle w:val="TableParagraph"/>
              <w:keepNext/>
              <w:widowControl/>
              <w:ind w:left="878" w:right="445" w:hanging="488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Kritérium</w:t>
            </w:r>
            <w:r>
              <w:rPr>
                <w:b/>
                <w:sz w:val="18"/>
                <w:szCs w:val="18"/>
                <w:lang w:val="cs-CZ"/>
              </w:rPr>
              <w:t xml:space="preserve"> úspěšnosti</w:t>
            </w:r>
          </w:p>
          <w:p w:rsidR="00686E1C" w:rsidRPr="000262F9" w:rsidRDefault="00686E1C" w:rsidP="00891D25">
            <w:pPr>
              <w:pStyle w:val="TableParagraph"/>
              <w:keepNext/>
              <w:widowControl/>
              <w:ind w:left="878" w:right="445" w:hanging="488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WCAG 2.1</w:t>
            </w:r>
          </w:p>
        </w:tc>
        <w:tc>
          <w:tcPr>
            <w:tcW w:w="1702" w:type="dxa"/>
            <w:gridSpan w:val="4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line="206" w:lineRule="exact"/>
              <w:ind w:left="126" w:right="201"/>
              <w:jc w:val="center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Základní požadavky směrnice</w:t>
            </w:r>
          </w:p>
        </w:tc>
        <w:tc>
          <w:tcPr>
            <w:tcW w:w="1269" w:type="dxa"/>
            <w:vMerge w:val="restart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686E1C" w:rsidRDefault="00686E1C" w:rsidP="00891D25">
            <w:pPr>
              <w:pStyle w:val="TableParagraph"/>
              <w:keepNext/>
              <w:widowControl/>
              <w:spacing w:before="137"/>
              <w:ind w:left="122" w:right="192"/>
              <w:jc w:val="center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Ustanovení harmonizované normy</w:t>
            </w:r>
          </w:p>
          <w:p w:rsidR="00686E1C" w:rsidRPr="000262F9" w:rsidRDefault="00686E1C" w:rsidP="00891D25">
            <w:pPr>
              <w:pStyle w:val="TableParagraph"/>
              <w:keepNext/>
              <w:widowControl/>
              <w:spacing w:before="137"/>
              <w:ind w:left="122" w:right="192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ETSI 301 549 V2.1.2</w:t>
            </w:r>
          </w:p>
        </w:tc>
        <w:tc>
          <w:tcPr>
            <w:tcW w:w="1281" w:type="dxa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i/>
                <w:sz w:val="18"/>
                <w:szCs w:val="18"/>
                <w:lang w:val="cs-CZ"/>
              </w:rPr>
              <w:t>Metody sledování</w:t>
            </w:r>
          </w:p>
        </w:tc>
        <w:tc>
          <w:tcPr>
            <w:tcW w:w="1271" w:type="dxa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i/>
                <w:sz w:val="18"/>
                <w:szCs w:val="18"/>
                <w:lang w:val="cs-CZ"/>
              </w:rPr>
              <w:t>Metody sledování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686E1C" w:rsidRPr="000262F9" w:rsidRDefault="00686E1C" w:rsidP="00891D25">
            <w:pPr>
              <w:pStyle w:val="TableParagraph"/>
              <w:keepNext/>
              <w:widowControl/>
              <w:ind w:left="0"/>
              <w:rPr>
                <w:b/>
                <w:i/>
                <w:sz w:val="18"/>
                <w:szCs w:val="18"/>
                <w:lang w:val="cs-CZ"/>
              </w:rPr>
            </w:pPr>
          </w:p>
        </w:tc>
      </w:tr>
      <w:tr w:rsidR="00686E1C" w:rsidRPr="000262F9" w:rsidTr="007A184C">
        <w:trPr>
          <w:trHeight w:val="1648"/>
        </w:trPr>
        <w:tc>
          <w:tcPr>
            <w:tcW w:w="2694" w:type="dxa"/>
            <w:vMerge/>
            <w:tcBorders>
              <w:top w:val="nil"/>
            </w:tcBorders>
            <w:shd w:val="clear" w:color="auto" w:fill="DAEEF3" w:themeFill="accent5" w:themeFillTint="33"/>
          </w:tcPr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8"/>
              <w:ind w:left="32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Vnímatelnost</w:t>
            </w: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8"/>
              <w:ind w:left="43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Ovladatelnost</w:t>
            </w: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8"/>
              <w:ind w:left="14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Srozumitelnost</w:t>
            </w:r>
          </w:p>
        </w:tc>
        <w:tc>
          <w:tcPr>
            <w:tcW w:w="427" w:type="dxa"/>
            <w:shd w:val="clear" w:color="auto" w:fill="DAEEF3" w:themeFill="accent5" w:themeFillTint="33"/>
            <w:textDirection w:val="btLr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7"/>
              <w:ind w:left="513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Stabilita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AEEF3" w:themeFill="accent5" w:themeFillTint="33"/>
          </w:tcPr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DAEEF3" w:themeFill="accent5" w:themeFillTint="33"/>
          </w:tcPr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  <w:r w:rsidRPr="000262F9">
              <w:rPr>
                <w:rFonts w:cs="Arial"/>
                <w:sz w:val="18"/>
                <w:szCs w:val="18"/>
                <w:lang w:val="cs-CZ"/>
              </w:rPr>
              <w:t>Zjednodušená metoda sledování</w:t>
            </w:r>
          </w:p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keepNext/>
              <w:widowControl/>
              <w:rPr>
                <w:rFonts w:cs="Arial"/>
                <w:i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DAEEF3" w:themeFill="accent5" w:themeFillTint="33"/>
          </w:tcPr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Důkladná </w:t>
            </w:r>
            <w:r w:rsidRPr="000262F9">
              <w:rPr>
                <w:rFonts w:cs="Arial"/>
                <w:sz w:val="18"/>
                <w:szCs w:val="18"/>
                <w:lang w:val="cs-CZ"/>
              </w:rPr>
              <w:t>metoda sledování</w:t>
            </w:r>
          </w:p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  <w:p w:rsidR="00686E1C" w:rsidRPr="000262F9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AEEF3" w:themeFill="accent5" w:themeFillTint="33"/>
          </w:tcPr>
          <w:p w:rsidR="00686E1C" w:rsidRPr="00686E1C" w:rsidRDefault="00686E1C" w:rsidP="00891D25">
            <w:pPr>
              <w:keepNext/>
              <w:widowControl/>
              <w:rPr>
                <w:rFonts w:cs="Arial"/>
                <w:b/>
                <w:sz w:val="18"/>
                <w:szCs w:val="18"/>
                <w:lang w:val="cs-CZ"/>
              </w:rPr>
            </w:pPr>
            <w:r w:rsidRPr="00686E1C">
              <w:rPr>
                <w:rFonts w:cs="Arial"/>
                <w:b/>
                <w:sz w:val="18"/>
                <w:szCs w:val="18"/>
                <w:lang w:val="cs-CZ"/>
              </w:rPr>
              <w:t>Stav souladu</w:t>
            </w:r>
          </w:p>
          <w:p w:rsidR="00686E1C" w:rsidRPr="00686E1C" w:rsidRDefault="00686E1C" w:rsidP="00891D25">
            <w:pPr>
              <w:keepNext/>
              <w:widowControl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Netextový obsah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9.1.1.1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keepNext/>
              <w:widowControl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414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 w:right="29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1.2.1 Pouze audio a pouze video (předtočené)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9.1.2.1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1.2.2</w:t>
            </w:r>
            <w:r w:rsidRPr="000262F9">
              <w:rPr>
                <w:spacing w:val="-5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Titulky (předtočené)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9.1.2.2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621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44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 xml:space="preserve">1.2.3 Audio popis či alternativa pro multimediální zvuk 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8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</w:p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9.1.2.3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1.2.4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Titulky (živě)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9.1.2.4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414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22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1.2.5 Audio popis (předtočený)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9.1.2.5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4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lastRenderedPageBreak/>
              <w:t>1.3.1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Informace a vzájemné vztahy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9.1.3.1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1.3.2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Srozumitelné pořadí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9.1.3.2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1.3.3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Vlastnosti na základě smyslového vjemu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9.1.3.3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Orientace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9.1.3.4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1.3.5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Určení účelu vstupu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9.1.3.5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</w:t>
            </w:r>
            <w:r w:rsidRPr="000262F9">
              <w:rPr>
                <w:spacing w:val="-1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Používání barev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Ovládání audia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1.4.3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Minimální kontrast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1.4.4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Změna velikosti textu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1.4.5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Text ve formě obrázku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9.1.4.5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1.4.10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Přeformátování (reflow)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9.1.4.10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Netextový kontrast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9.1.4.11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Rozložení textu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9.1.4.12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414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34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1.4.13 Obsah při přechodu myší nebo fokusu klávesnice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9.1.4.13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2.1.1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Klávesnice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9.2.1.1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2.1.2</w:t>
            </w:r>
            <w:r w:rsidRPr="000262F9">
              <w:rPr>
                <w:spacing w:val="-1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Žádná past na klávesy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9.2.1.2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2.1.4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Jednoznakové klávesové zkratky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9.2.1.4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2.2.1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Nastavitelné časování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9.2.2.1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2.2.2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Pauza, zastavení, skrytí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9.2.2.2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41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21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2.3.1 Tři záblesky nebo podprahové blikání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9.2.3.1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Přeskoč bloky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Každá stránka má titulek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Nebylo zcela </w:t>
            </w:r>
            <w:r>
              <w:rPr>
                <w:sz w:val="18"/>
                <w:szCs w:val="18"/>
                <w:lang w:val="cs-CZ"/>
              </w:rPr>
              <w:lastRenderedPageBreak/>
              <w:t>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lastRenderedPageBreak/>
              <w:t>2.4.3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Pořadí procházení prvků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412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75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2.4.4 Účel odkazu (v kontextu)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2.4.5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Více způsobů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9.2.4.5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2.4.6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Nadpisy a popisky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9.2.4.6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2.4.7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Viditelné zaměření (focus)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9.2.4.7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5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Gesta (ukazatelů)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9.2.5.1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Zrušení gesta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9.2.5.2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8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Popisek v názvu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9.2.5.3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Ovládání pohybu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9.2.5.4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Jazyk stránky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9.3.1.1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3.1.2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Jazyk jednotlivých částí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9.3.1.2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 xml:space="preserve">Zaměření (focus) 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9.3.2.1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Vstup uživatele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9.3.2.2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3.2.3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Konzistentní navigace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9.3.2.3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Konzistentní identifikace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9.3.2.4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Identifikace chyby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9.3.3.1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Popisky nebo pokyny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9.3.3.2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Návrhy pro opravení chyby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9.3.3.3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20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3.3.4 Předcházení chybám (právní,</w:t>
            </w:r>
            <w:r w:rsidR="00184F3B">
              <w:rPr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finanční, datové)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9.3.3.4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Syntaktická analýza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4.1.1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Název, funkce, hodnota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4.1.2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lastRenderedPageBreak/>
              <w:t>4.1.3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Stavové zprávy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4.1.3</w:t>
            </w:r>
          </w:p>
        </w:tc>
        <w:tc>
          <w:tcPr>
            <w:tcW w:w="128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686E1C" w:rsidRPr="000262F9" w:rsidTr="007A184C">
        <w:trPr>
          <w:trHeight w:val="206"/>
        </w:trPr>
        <w:tc>
          <w:tcPr>
            <w:tcW w:w="2694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right="1227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Přístupná dokumentace</w:t>
            </w:r>
          </w:p>
        </w:tc>
        <w:tc>
          <w:tcPr>
            <w:tcW w:w="425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sz w:val="18"/>
                <w:szCs w:val="18"/>
                <w:lang w:val="cs-CZ"/>
              </w:rPr>
              <w:t>C.12.1.2</w:t>
            </w:r>
          </w:p>
        </w:tc>
        <w:tc>
          <w:tcPr>
            <w:tcW w:w="1281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  <w:shd w:val="clear" w:color="auto" w:fill="FFFFFF" w:themeFill="background1"/>
          </w:tcPr>
          <w:p w:rsidR="00686E1C" w:rsidRPr="000262F9" w:rsidRDefault="00686E1C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</w:tbl>
    <w:p w:rsidR="0092235D" w:rsidRPr="000268D3" w:rsidRDefault="000268D3" w:rsidP="00891D25">
      <w:pPr>
        <w:pStyle w:val="Titulek"/>
        <w:spacing w:before="240"/>
        <w:ind w:left="720"/>
        <w:rPr>
          <w:rFonts w:cs="Arial"/>
          <w:b/>
          <w:i w:val="0"/>
          <w:color w:val="auto"/>
          <w:sz w:val="28"/>
          <w:szCs w:val="24"/>
        </w:rPr>
      </w:pPr>
      <w:bookmarkStart w:id="96" w:name="_Toc91066232"/>
      <w:r w:rsidRPr="00227AFB">
        <w:rPr>
          <w:rFonts w:cs="Arial"/>
          <w:i w:val="0"/>
          <w:color w:val="auto"/>
          <w:sz w:val="20"/>
        </w:rPr>
        <w:t xml:space="preserve">Tabulka </w:t>
      </w:r>
      <w:r w:rsidR="003B7032">
        <w:rPr>
          <w:rFonts w:cs="Arial"/>
          <w:i w:val="0"/>
          <w:color w:val="auto"/>
          <w:sz w:val="20"/>
        </w:rPr>
        <w:t xml:space="preserve">č. </w:t>
      </w:r>
      <w:r w:rsidRPr="00227AFB">
        <w:rPr>
          <w:rFonts w:cs="Arial"/>
          <w:i w:val="0"/>
          <w:color w:val="auto"/>
          <w:sz w:val="20"/>
        </w:rPr>
        <w:fldChar w:fldCharType="begin"/>
      </w:r>
      <w:r w:rsidRPr="00227AFB">
        <w:rPr>
          <w:rFonts w:cs="Arial"/>
          <w:i w:val="0"/>
          <w:color w:val="auto"/>
          <w:sz w:val="20"/>
        </w:rPr>
        <w:instrText xml:space="preserve"> SEQ Tabulka \* ARABIC </w:instrText>
      </w:r>
      <w:r w:rsidRPr="00227AFB">
        <w:rPr>
          <w:rFonts w:cs="Arial"/>
          <w:i w:val="0"/>
          <w:color w:val="auto"/>
          <w:sz w:val="20"/>
        </w:rPr>
        <w:fldChar w:fldCharType="separate"/>
      </w:r>
      <w:r w:rsidR="00025FCE">
        <w:rPr>
          <w:rFonts w:cs="Arial"/>
          <w:i w:val="0"/>
          <w:noProof/>
          <w:color w:val="auto"/>
          <w:sz w:val="20"/>
        </w:rPr>
        <w:t>11</w:t>
      </w:r>
      <w:r w:rsidRPr="00227AFB">
        <w:rPr>
          <w:rFonts w:cs="Arial"/>
          <w:i w:val="0"/>
          <w:color w:val="auto"/>
          <w:sz w:val="20"/>
        </w:rPr>
        <w:fldChar w:fldCharType="end"/>
      </w:r>
      <w:r w:rsidRPr="00227AFB">
        <w:rPr>
          <w:rFonts w:cs="Arial"/>
          <w:i w:val="0"/>
          <w:color w:val="auto"/>
          <w:sz w:val="20"/>
        </w:rPr>
        <w:t xml:space="preserve"> </w:t>
      </w:r>
      <w:r>
        <w:rPr>
          <w:rFonts w:cs="Arial"/>
          <w:i w:val="0"/>
          <w:color w:val="auto"/>
          <w:sz w:val="20"/>
        </w:rPr>
        <w:t>– Mobilní aplikace - Srovnávací tabulka ověřující soulad s požadavky Harmonizované normy</w:t>
      </w:r>
      <w:bookmarkEnd w:id="96"/>
    </w:p>
    <w:tbl>
      <w:tblPr>
        <w:tblStyle w:val="TableNormal"/>
        <w:tblpPr w:leftFromText="141" w:rightFromText="141" w:vertAnchor="text" w:horzAnchor="margin" w:tblpXSpec="center" w:tblpY="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"/>
        <w:gridCol w:w="425"/>
        <w:gridCol w:w="425"/>
        <w:gridCol w:w="427"/>
        <w:gridCol w:w="1269"/>
        <w:gridCol w:w="1281"/>
        <w:gridCol w:w="1271"/>
        <w:gridCol w:w="1134"/>
      </w:tblGrid>
      <w:tr w:rsidR="0092235D" w:rsidRPr="000262F9" w:rsidTr="005B4615">
        <w:trPr>
          <w:trHeight w:val="618"/>
        </w:trPr>
        <w:tc>
          <w:tcPr>
            <w:tcW w:w="2694" w:type="dxa"/>
            <w:vMerge w:val="restart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pStyle w:val="TableParagraph"/>
              <w:spacing w:before="10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Default="0092235D" w:rsidP="005A3D36">
            <w:pPr>
              <w:pStyle w:val="TableParagraph"/>
              <w:ind w:left="878" w:right="445" w:hanging="488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Kritérium</w:t>
            </w:r>
            <w:r>
              <w:rPr>
                <w:b/>
                <w:sz w:val="18"/>
                <w:szCs w:val="18"/>
                <w:lang w:val="cs-CZ"/>
              </w:rPr>
              <w:t xml:space="preserve"> úspěšnosti</w:t>
            </w:r>
          </w:p>
          <w:p w:rsidR="0092235D" w:rsidRPr="000262F9" w:rsidRDefault="0092235D" w:rsidP="005A3D36">
            <w:pPr>
              <w:pStyle w:val="TableParagraph"/>
              <w:ind w:left="878" w:right="445" w:hanging="488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WCAG 2.1</w:t>
            </w:r>
          </w:p>
        </w:tc>
        <w:tc>
          <w:tcPr>
            <w:tcW w:w="1702" w:type="dxa"/>
            <w:gridSpan w:val="4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spacing w:line="206" w:lineRule="exact"/>
              <w:ind w:left="126" w:right="201"/>
              <w:jc w:val="center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Základní požadavky směrnice</w:t>
            </w:r>
          </w:p>
        </w:tc>
        <w:tc>
          <w:tcPr>
            <w:tcW w:w="1269" w:type="dxa"/>
            <w:vMerge w:val="restart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</w:p>
          <w:p w:rsidR="0092235D" w:rsidRDefault="0092235D" w:rsidP="005A3D36">
            <w:pPr>
              <w:pStyle w:val="TableParagraph"/>
              <w:spacing w:before="137"/>
              <w:ind w:left="122" w:right="192"/>
              <w:jc w:val="center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Ustanovení harmonizované normy</w:t>
            </w:r>
          </w:p>
          <w:p w:rsidR="0092235D" w:rsidRPr="000262F9" w:rsidRDefault="0092235D" w:rsidP="005A3D36">
            <w:pPr>
              <w:pStyle w:val="TableParagraph"/>
              <w:spacing w:before="137"/>
              <w:ind w:left="122" w:right="192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ETSI 301 549 V2.1.2</w:t>
            </w:r>
          </w:p>
        </w:tc>
        <w:tc>
          <w:tcPr>
            <w:tcW w:w="1281" w:type="dxa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i/>
                <w:sz w:val="18"/>
                <w:szCs w:val="18"/>
                <w:lang w:val="cs-CZ"/>
              </w:rPr>
              <w:t>Metody sledování</w:t>
            </w:r>
          </w:p>
        </w:tc>
        <w:tc>
          <w:tcPr>
            <w:tcW w:w="1271" w:type="dxa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ind w:left="0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i/>
                <w:sz w:val="18"/>
                <w:szCs w:val="18"/>
                <w:lang w:val="cs-CZ"/>
              </w:rPr>
              <w:t>Metody sledování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92235D" w:rsidRPr="000262F9" w:rsidRDefault="0092235D" w:rsidP="005A3D36">
            <w:pPr>
              <w:pStyle w:val="TableParagraph"/>
              <w:ind w:left="0"/>
              <w:rPr>
                <w:b/>
                <w:i/>
                <w:sz w:val="18"/>
                <w:szCs w:val="18"/>
                <w:lang w:val="cs-CZ"/>
              </w:rPr>
            </w:pPr>
          </w:p>
        </w:tc>
      </w:tr>
      <w:tr w:rsidR="0092235D" w:rsidRPr="000262F9" w:rsidTr="005B4615">
        <w:trPr>
          <w:trHeight w:val="1648"/>
        </w:trPr>
        <w:tc>
          <w:tcPr>
            <w:tcW w:w="2694" w:type="dxa"/>
            <w:vMerge/>
            <w:tcBorders>
              <w:top w:val="nil"/>
            </w:tcBorders>
            <w:shd w:val="clear" w:color="auto" w:fill="DAEEF3" w:themeFill="accent5" w:themeFillTint="33"/>
          </w:tcPr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92235D" w:rsidRPr="000262F9" w:rsidRDefault="0092235D" w:rsidP="005A3D36">
            <w:pPr>
              <w:pStyle w:val="TableParagraph"/>
              <w:spacing w:before="68"/>
              <w:ind w:left="32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Vnímatelnost</w:t>
            </w: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92235D" w:rsidRPr="000262F9" w:rsidRDefault="0092235D" w:rsidP="005A3D36">
            <w:pPr>
              <w:pStyle w:val="TableParagraph"/>
              <w:spacing w:before="68"/>
              <w:ind w:left="43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Ovladatelnost</w:t>
            </w:r>
          </w:p>
        </w:tc>
        <w:tc>
          <w:tcPr>
            <w:tcW w:w="425" w:type="dxa"/>
            <w:shd w:val="clear" w:color="auto" w:fill="DAEEF3" w:themeFill="accent5" w:themeFillTint="33"/>
            <w:textDirection w:val="btLr"/>
          </w:tcPr>
          <w:p w:rsidR="0092235D" w:rsidRPr="000262F9" w:rsidRDefault="0092235D" w:rsidP="005A3D36">
            <w:pPr>
              <w:pStyle w:val="TableParagraph"/>
              <w:spacing w:before="68"/>
              <w:ind w:left="141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Srozumitelnost</w:t>
            </w:r>
          </w:p>
        </w:tc>
        <w:tc>
          <w:tcPr>
            <w:tcW w:w="427" w:type="dxa"/>
            <w:shd w:val="clear" w:color="auto" w:fill="DAEEF3" w:themeFill="accent5" w:themeFillTint="33"/>
            <w:textDirection w:val="btLr"/>
          </w:tcPr>
          <w:p w:rsidR="0092235D" w:rsidRPr="000262F9" w:rsidRDefault="0092235D" w:rsidP="005A3D36">
            <w:pPr>
              <w:pStyle w:val="TableParagraph"/>
              <w:spacing w:before="67"/>
              <w:ind w:left="513"/>
              <w:rPr>
                <w:b/>
                <w:sz w:val="18"/>
                <w:szCs w:val="18"/>
                <w:lang w:val="cs-CZ"/>
              </w:rPr>
            </w:pPr>
            <w:r w:rsidRPr="000262F9">
              <w:rPr>
                <w:b/>
                <w:sz w:val="18"/>
                <w:szCs w:val="18"/>
                <w:lang w:val="cs-CZ"/>
              </w:rPr>
              <w:t>Stabilita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AEEF3" w:themeFill="accent5" w:themeFillTint="33"/>
          </w:tcPr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1281" w:type="dxa"/>
            <w:tcBorders>
              <w:top w:val="nil"/>
            </w:tcBorders>
            <w:shd w:val="clear" w:color="auto" w:fill="DAEEF3" w:themeFill="accent5" w:themeFillTint="33"/>
          </w:tcPr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  <w:r w:rsidRPr="000262F9">
              <w:rPr>
                <w:rFonts w:cs="Arial"/>
                <w:sz w:val="18"/>
                <w:szCs w:val="18"/>
                <w:lang w:val="cs-CZ"/>
              </w:rPr>
              <w:t>Zjednodušená metoda sledování</w:t>
            </w:r>
          </w:p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rPr>
                <w:rFonts w:cs="Arial"/>
                <w:i/>
                <w:sz w:val="18"/>
                <w:szCs w:val="18"/>
                <w:lang w:val="cs-CZ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DAEEF3" w:themeFill="accent5" w:themeFillTint="33"/>
          </w:tcPr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Důkladná </w:t>
            </w:r>
            <w:r w:rsidRPr="000262F9">
              <w:rPr>
                <w:rFonts w:cs="Arial"/>
                <w:sz w:val="18"/>
                <w:szCs w:val="18"/>
                <w:lang w:val="cs-CZ"/>
              </w:rPr>
              <w:t>metoda sledování</w:t>
            </w:r>
          </w:p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  <w:p w:rsidR="0092235D" w:rsidRPr="000262F9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AEEF3" w:themeFill="accent5" w:themeFillTint="33"/>
          </w:tcPr>
          <w:p w:rsidR="0092235D" w:rsidRPr="00686E1C" w:rsidRDefault="0092235D" w:rsidP="005A3D36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 w:rsidRPr="00686E1C">
              <w:rPr>
                <w:rFonts w:cs="Arial"/>
                <w:b/>
                <w:sz w:val="18"/>
                <w:szCs w:val="18"/>
                <w:lang w:val="cs-CZ"/>
              </w:rPr>
              <w:t>Stav souladu</w:t>
            </w:r>
          </w:p>
          <w:p w:rsidR="0092235D" w:rsidRPr="00686E1C" w:rsidRDefault="0092235D" w:rsidP="005A3D36">
            <w:pPr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Netextový obsah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.1.1.1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414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 w:right="29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1.2.1 Pouze audio a pouze video (předtočené)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1.2.2</w:t>
            </w:r>
            <w:r w:rsidRPr="000262F9">
              <w:rPr>
                <w:spacing w:val="-5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Titulky (předtočené)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621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44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 xml:space="preserve">1.2.3 Audio popis či alternativa pro multimediální zvuk 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8"/>
                <w:lang w:val="cs-CZ"/>
              </w:rPr>
            </w:pPr>
          </w:p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</w:p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b/>
                <w:sz w:val="17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1.2.4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Titulky (živě)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414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22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1.2.5 Audio popis (předtočený)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.1.2.5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4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Informace a vzájemné vztahy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1.3.2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Srozumitelné pořadí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1.3.3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Vlastnosti na základě smyslového vjemu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Orientace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1.3.5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Určení účelu vstupu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.1.3.5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</w:t>
            </w:r>
            <w:r w:rsidRPr="000262F9">
              <w:rPr>
                <w:spacing w:val="-1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Používání barev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Ovládání audia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lastRenderedPageBreak/>
              <w:t>1.4.3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Minimální kontrast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1.4.4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Změna velikosti textu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1.4.5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Text ve formě obrázku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.1.4.5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1.4.10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Přeformátování (reflow)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.1.4.10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Netextový kontrast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.1.4.11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Rozložení textu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.1.4.12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414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34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1.4.13 Obsah při přechodu myší nebo fokusu klávesnice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.1.4.13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2.1.1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Klávesnice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.2.1.1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2.1.2</w:t>
            </w:r>
            <w:r w:rsidRPr="000262F9">
              <w:rPr>
                <w:spacing w:val="-1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Žádná past na klávesy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.2.1.2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2.1.4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Jednoznakové klávesové zkratky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.2.1.4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2.2.1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Nastavitelné časování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.2.2.1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2.2.2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Pauza, zastavení, skrytí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.2.2.2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41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21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2.3.1 Tři záblesky nebo podprahové blikání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.2.3.1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Přeskoč bloky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.2.4.1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Každá stránka má titulek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.2.4.2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Pořadí procházení prvků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412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75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2.4.4 Účel odkazu (v kontextu)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2.4.5</w:t>
            </w:r>
            <w:r w:rsidRPr="000262F9">
              <w:rPr>
                <w:spacing w:val="-4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Více způsobů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.2.4.5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2.4.6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Nadpisy a popisky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.2.4.6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2.4.7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Viditelné zaměření (focus)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.2.4.7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5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2.5.1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Gesta (ukazatelů)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.2.5.1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Zrušení gesta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.2.5.2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8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2.5.3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Popisek v názvu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.2.5.3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lastRenderedPageBreak/>
              <w:t>2.5.4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Ovládání pohybu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.2.5.4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20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Style w:val="Zdraznn"/>
                <w:sz w:val="18"/>
                <w:szCs w:val="20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Jazyk stránky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.3.1.1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3.1.2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Jazyk jednotlivých částí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.3.1.2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 xml:space="preserve">Zaměření (focus) 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.3.2.1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3.2.2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Vstup uživatele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.3.2.2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3.2.3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Konzistentní navigace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.3.2.3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3.2.4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Konzistentní identifikace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.3.2.4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Identifikace chyby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.3.3.1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Popisky nebo pokyny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.3.3.2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Návrhy pro opravení chyby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.3.3.3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206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3.3.4 Předcházení chybám (právní,</w:t>
            </w:r>
            <w:r w:rsidR="00184F3B">
              <w:rPr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finanční, datové)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.3.3.4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4.1.1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Syntaktická analýza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.1.1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4.1.2</w:t>
            </w:r>
            <w:r w:rsidRPr="000262F9">
              <w:rPr>
                <w:spacing w:val="-3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Název, funkce, hodnota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0"/>
              <w:rPr>
                <w:rFonts w:ascii="Times New Roman"/>
                <w:sz w:val="14"/>
                <w:lang w:val="cs-CZ"/>
              </w:rPr>
            </w:pP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.1.2</w:t>
            </w:r>
          </w:p>
        </w:tc>
        <w:tc>
          <w:tcPr>
            <w:tcW w:w="128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4.1.3</w:t>
            </w:r>
            <w:r w:rsidRPr="000262F9">
              <w:rPr>
                <w:spacing w:val="-2"/>
                <w:sz w:val="18"/>
                <w:lang w:val="cs-CZ"/>
              </w:rPr>
              <w:t xml:space="preserve"> </w:t>
            </w:r>
            <w:r w:rsidRPr="000262F9">
              <w:rPr>
                <w:sz w:val="18"/>
                <w:lang w:val="cs-CZ"/>
              </w:rPr>
              <w:t>Stavové zprávy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11</w:t>
            </w:r>
            <w:r w:rsidRPr="000262F9">
              <w:rPr>
                <w:sz w:val="18"/>
                <w:lang w:val="cs-CZ"/>
              </w:rPr>
              <w:t>.1.3</w:t>
            </w:r>
          </w:p>
        </w:tc>
        <w:tc>
          <w:tcPr>
            <w:tcW w:w="128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271" w:type="dxa"/>
          </w:tcPr>
          <w:p w:rsidR="0092235D" w:rsidRPr="000262F9" w:rsidRDefault="00620D55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Neaplikováno</w:t>
            </w:r>
          </w:p>
        </w:tc>
        <w:tc>
          <w:tcPr>
            <w:tcW w:w="1134" w:type="dxa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</w:p>
        </w:tc>
      </w:tr>
      <w:tr w:rsidR="0092235D" w:rsidRPr="000262F9" w:rsidTr="005B4615">
        <w:trPr>
          <w:trHeight w:val="206"/>
        </w:trPr>
        <w:tc>
          <w:tcPr>
            <w:tcW w:w="2694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right="1227"/>
              <w:rPr>
                <w:sz w:val="18"/>
                <w:lang w:val="cs-CZ"/>
              </w:rPr>
            </w:pPr>
            <w:r w:rsidRPr="000262F9">
              <w:rPr>
                <w:sz w:val="18"/>
                <w:lang w:val="cs-CZ"/>
              </w:rPr>
              <w:t>Přístupná dokumentace</w:t>
            </w:r>
          </w:p>
        </w:tc>
        <w:tc>
          <w:tcPr>
            <w:tcW w:w="425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7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0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5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99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427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102"/>
              <w:rPr>
                <w:rFonts w:ascii="Wingdings" w:hAnsi="Wingdings"/>
                <w:sz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69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sz w:val="18"/>
                <w:szCs w:val="18"/>
                <w:lang w:val="cs-CZ"/>
              </w:rPr>
              <w:t>12.1.2</w:t>
            </w:r>
          </w:p>
        </w:tc>
        <w:tc>
          <w:tcPr>
            <w:tcW w:w="1281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271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sz w:val="18"/>
                <w:szCs w:val="18"/>
                <w:lang w:val="cs-CZ"/>
              </w:rPr>
            </w:pPr>
            <w:r w:rsidRPr="000262F9">
              <w:rPr>
                <w:rFonts w:ascii="Wingdings" w:hAnsi="Wingdings"/>
                <w:sz w:val="18"/>
                <w:lang w:val="cs-CZ"/>
              </w:rPr>
              <w:t></w:t>
            </w:r>
          </w:p>
        </w:tc>
        <w:tc>
          <w:tcPr>
            <w:tcW w:w="1134" w:type="dxa"/>
            <w:shd w:val="clear" w:color="auto" w:fill="FFFFFF" w:themeFill="background1"/>
          </w:tcPr>
          <w:p w:rsidR="0092235D" w:rsidRPr="000262F9" w:rsidRDefault="0092235D" w:rsidP="00891D25">
            <w:pPr>
              <w:pStyle w:val="TableParagraph"/>
              <w:spacing w:before="60" w:after="60" w:line="264" w:lineRule="auto"/>
              <w:ind w:left="29"/>
              <w:rPr>
                <w:rFonts w:ascii="Wingdings" w:hAnsi="Wingdings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Nebylo zcela v souladu</w:t>
            </w:r>
          </w:p>
        </w:tc>
      </w:tr>
    </w:tbl>
    <w:p w:rsidR="005B4615" w:rsidRDefault="005B4615" w:rsidP="00891D25">
      <w:pPr>
        <w:spacing w:before="240" w:line="360" w:lineRule="auto"/>
        <w:ind w:firstLine="35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Jak je patrné z posledního sloupce tabulky, žádný z automatických nástrojů v tuto chvíli nedokáže zcela ověřit soulad s kritérii přístupnosti. Jako nejvhodnější postup kontroly se jeví kombinace automatických nástrojů a manuálního ověření chybové hlášky. Automatizované kontroly se jeví jako dostatečné v případě, kdy je třeba identifikovat a kvantifikovat co největší počet zjištění nedostatků, které je následně možné využít pro další rozbor přístupnosti hodnocené internetové stránky nebo mobilní aplikace.  </w:t>
      </w:r>
    </w:p>
    <w:p w:rsidR="005B4615" w:rsidRDefault="005B4615" w:rsidP="00891D25">
      <w:pPr>
        <w:pStyle w:val="Nadpis2"/>
        <w:rPr>
          <w:color w:val="002060"/>
        </w:rPr>
      </w:pPr>
      <w:bookmarkStart w:id="97" w:name="_Toc91065713"/>
      <w:bookmarkStart w:id="98" w:name="_Toc91065831"/>
      <w:bookmarkStart w:id="99" w:name="_Toc91065904"/>
      <w:bookmarkStart w:id="100" w:name="_Toc91066065"/>
      <w:bookmarkStart w:id="101" w:name="_Toc91067512"/>
      <w:bookmarkStart w:id="102" w:name="_Toc91065714"/>
      <w:bookmarkStart w:id="103" w:name="_Toc91065832"/>
      <w:bookmarkStart w:id="104" w:name="_Toc91065905"/>
      <w:bookmarkStart w:id="105" w:name="_Toc91066066"/>
      <w:bookmarkStart w:id="106" w:name="_Toc91067513"/>
      <w:bookmarkStart w:id="107" w:name="_Toc91065715"/>
      <w:bookmarkStart w:id="108" w:name="_Toc91065833"/>
      <w:bookmarkStart w:id="109" w:name="_Toc91065906"/>
      <w:bookmarkStart w:id="110" w:name="_Toc91066067"/>
      <w:bookmarkStart w:id="111" w:name="_Toc91067514"/>
      <w:bookmarkStart w:id="112" w:name="_Toc91067515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D71C66">
        <w:rPr>
          <w:color w:val="002060"/>
        </w:rPr>
        <w:lastRenderedPageBreak/>
        <w:t>Spolupráce s povinnými subjekty na základě zpětné vazby z provedených kontrol přístupnosti</w:t>
      </w:r>
      <w:bookmarkEnd w:id="112"/>
    </w:p>
    <w:p w:rsidR="005B4615" w:rsidRPr="005B4615" w:rsidRDefault="005B4615" w:rsidP="005B4615">
      <w:pPr>
        <w:spacing w:line="360" w:lineRule="auto"/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>Po</w:t>
      </w:r>
      <w:r w:rsidRPr="005B4615">
        <w:rPr>
          <w:rFonts w:eastAsiaTheme="majorEastAsia" w:cs="Arial"/>
          <w:bCs/>
          <w:szCs w:val="24"/>
        </w:rPr>
        <w:t xml:space="preserve"> provedení kontroly přístupnosti internetové stránky či mobilní aplikace zaslalo Ministerstvo vnitra příslušnému </w:t>
      </w:r>
      <w:r>
        <w:rPr>
          <w:rFonts w:eastAsiaTheme="majorEastAsia" w:cs="Arial"/>
          <w:bCs/>
          <w:szCs w:val="24"/>
        </w:rPr>
        <w:t xml:space="preserve">subjektu </w:t>
      </w:r>
      <w:r w:rsidRPr="005B4615">
        <w:rPr>
          <w:rFonts w:eastAsiaTheme="majorEastAsia" w:cs="Arial"/>
          <w:bCs/>
          <w:szCs w:val="24"/>
        </w:rPr>
        <w:t>dopis</w:t>
      </w:r>
      <w:r>
        <w:rPr>
          <w:rFonts w:eastAsiaTheme="majorEastAsia" w:cs="Arial"/>
          <w:bCs/>
          <w:szCs w:val="24"/>
        </w:rPr>
        <w:t xml:space="preserve"> se zprávou a protokolem </w:t>
      </w:r>
      <w:r w:rsidRPr="005B4615">
        <w:rPr>
          <w:rFonts w:eastAsiaTheme="majorEastAsia" w:cs="Arial"/>
          <w:bCs/>
          <w:szCs w:val="24"/>
        </w:rPr>
        <w:t>vysvětlující kontext hodnocení přístupnosti dle platné národní a evropské legislativy, popis hodnocených kritérií, výsledek hodnocení, výčet zjištěných nedostatků a doporučení k jejich odstranění.  Smyslem zvolené komunikace bylo nejen splnění povinnosti monitorování, ale také zvyšování povědomí o problematice přístupnosti jako takové. V několika případech následně zástupci odboru eGovern</w:t>
      </w:r>
      <w:r>
        <w:rPr>
          <w:rFonts w:eastAsiaTheme="majorEastAsia" w:cs="Arial"/>
          <w:bCs/>
          <w:szCs w:val="24"/>
        </w:rPr>
        <w:t>mentu poskytli cílenou telefonic</w:t>
      </w:r>
      <w:r w:rsidRPr="005B4615">
        <w:rPr>
          <w:rFonts w:eastAsiaTheme="majorEastAsia" w:cs="Arial"/>
          <w:bCs/>
          <w:szCs w:val="24"/>
        </w:rPr>
        <w:t xml:space="preserve">kou konzultaci k navrženým doporučením, zodpověděli dotazy vývojářů či zástupců příslušného úřadu a upozornili na dostupné informace k problematice přístupnosti na webových stránkách Ministerstva vnitra. </w:t>
      </w:r>
    </w:p>
    <w:p w:rsidR="005B4615" w:rsidRPr="005B4615" w:rsidRDefault="005B4615" w:rsidP="005B4615">
      <w:pPr>
        <w:spacing w:line="360" w:lineRule="auto"/>
        <w:jc w:val="both"/>
        <w:rPr>
          <w:rFonts w:eastAsiaTheme="majorEastAsia" w:cs="Arial"/>
          <w:bCs/>
          <w:szCs w:val="24"/>
        </w:rPr>
      </w:pPr>
      <w:r w:rsidRPr="005B4615">
        <w:rPr>
          <w:rFonts w:eastAsiaTheme="majorEastAsia" w:cs="Arial"/>
          <w:bCs/>
          <w:szCs w:val="24"/>
        </w:rPr>
        <w:t>Zvyšování povědomí o problematice přístupnosti a předávání dovedností potřebných k zajištění souladu internetovýc</w:t>
      </w:r>
      <w:r>
        <w:rPr>
          <w:rFonts w:eastAsiaTheme="majorEastAsia" w:cs="Arial"/>
          <w:bCs/>
          <w:szCs w:val="24"/>
        </w:rPr>
        <w:t>h</w:t>
      </w:r>
      <w:r w:rsidRPr="005B4615">
        <w:rPr>
          <w:rFonts w:eastAsiaTheme="majorEastAsia" w:cs="Arial"/>
          <w:bCs/>
          <w:szCs w:val="24"/>
        </w:rPr>
        <w:t xml:space="preserve"> stránek a mobilních aplikací subjektů veřejné správy probíhá zejména na konferencích a ve spolupráci se Sjednocenou organizací nevidomých a slabozrakých České republiky. Výsledky této monitorovací zprávy využije Ministerstvo vnitra při plánování aktivit na podporu zlepšování přístupnos</w:t>
      </w:r>
      <w:r w:rsidR="0015335E">
        <w:rPr>
          <w:rFonts w:eastAsiaTheme="majorEastAsia" w:cs="Arial"/>
          <w:bCs/>
          <w:szCs w:val="24"/>
        </w:rPr>
        <w:t>ti pro nadcházející monitorované</w:t>
      </w:r>
      <w:r w:rsidRPr="005B4615">
        <w:rPr>
          <w:rFonts w:eastAsiaTheme="majorEastAsia" w:cs="Arial"/>
          <w:bCs/>
          <w:szCs w:val="24"/>
        </w:rPr>
        <w:t xml:space="preserve"> období. </w:t>
      </w:r>
    </w:p>
    <w:p w:rsidR="001C4FE0" w:rsidRDefault="001C4FE0" w:rsidP="00094B41">
      <w:pPr>
        <w:sectPr w:rsidR="001C4FE0" w:rsidSect="00891D25">
          <w:headerReference w:type="default" r:id="rId14"/>
          <w:footerReference w:type="default" r:id="rId15"/>
          <w:pgSz w:w="11906" w:h="16838" w:code="9"/>
          <w:pgMar w:top="1928" w:right="1134" w:bottom="1701" w:left="1701" w:header="1701" w:footer="624" w:gutter="0"/>
          <w:pgNumType w:start="3"/>
          <w:cols w:space="708"/>
          <w:docGrid w:linePitch="360"/>
        </w:sectPr>
      </w:pPr>
    </w:p>
    <w:p w:rsidR="001C4FE0" w:rsidRPr="006B52C1" w:rsidRDefault="001C4FE0" w:rsidP="00891D25">
      <w:pPr>
        <w:pStyle w:val="Nadpis1"/>
        <w:keepNext/>
        <w:keepLines/>
        <w:numPr>
          <w:ilvl w:val="0"/>
          <w:numId w:val="0"/>
        </w:numPr>
        <w:spacing w:before="240" w:after="240" w:line="259" w:lineRule="auto"/>
        <w:ind w:left="431" w:hanging="431"/>
        <w:jc w:val="both"/>
        <w:rPr>
          <w:rFonts w:cs="Arial"/>
        </w:rPr>
      </w:pPr>
      <w:bookmarkStart w:id="113" w:name="_Toc91067516"/>
      <w:r>
        <w:rPr>
          <w:rFonts w:cs="Arial"/>
          <w:color w:val="002060"/>
          <w:sz w:val="24"/>
          <w:szCs w:val="24"/>
        </w:rPr>
        <w:lastRenderedPageBreak/>
        <w:t>Seznam t</w:t>
      </w:r>
      <w:r w:rsidRPr="00513557">
        <w:rPr>
          <w:rFonts w:cs="Arial"/>
          <w:color w:val="002060"/>
          <w:sz w:val="24"/>
          <w:szCs w:val="24"/>
        </w:rPr>
        <w:t>abulek</w:t>
      </w:r>
      <w:bookmarkEnd w:id="113"/>
    </w:p>
    <w:p w:rsidR="00A268C7" w:rsidRPr="00891D25" w:rsidRDefault="001C4FE0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r w:rsidRPr="003B7032">
        <w:rPr>
          <w:rFonts w:cs="Arial"/>
        </w:rPr>
        <w:fldChar w:fldCharType="begin"/>
      </w:r>
      <w:r w:rsidRPr="003B7032">
        <w:rPr>
          <w:rFonts w:cs="Arial"/>
        </w:rPr>
        <w:instrText xml:space="preserve"> TOC \h \z \c "Tabulka" </w:instrText>
      </w:r>
      <w:r w:rsidRPr="003B7032">
        <w:rPr>
          <w:rFonts w:cs="Arial"/>
        </w:rPr>
        <w:fldChar w:fldCharType="separate"/>
      </w:r>
      <w:hyperlink w:anchor="_Toc91066222" w:history="1">
        <w:r w:rsidR="00A268C7" w:rsidRPr="00891D25">
          <w:rPr>
            <w:rStyle w:val="Hypertextovodkaz"/>
            <w:rFonts w:cs="Arial"/>
            <w:noProof/>
            <w:sz w:val="22"/>
          </w:rPr>
          <w:t>Tabulka č. 1 – Přehled vybraných nástrojů pro automatizované ověření přístupnosti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_Toc91066222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6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3" w:history="1">
        <w:r w:rsidR="00A268C7" w:rsidRPr="00891D25">
          <w:rPr>
            <w:rStyle w:val="Hypertextovodkaz"/>
            <w:rFonts w:cs="Arial"/>
            <w:noProof/>
            <w:sz w:val="22"/>
          </w:rPr>
          <w:t>Tabulka č. 2 – Přehled vybraných asistenčních technologií k ověřování přístupnosti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_Toc91066223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6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4" w:history="1">
        <w:r w:rsidR="00A268C7" w:rsidRPr="00891D25">
          <w:rPr>
            <w:rStyle w:val="Hypertextovodkaz"/>
            <w:rFonts w:cs="Arial"/>
            <w:noProof/>
            <w:sz w:val="22"/>
          </w:rPr>
          <w:t>Tabulka č. 3 – Celkový počet internetových stránek a mobilních aplikací zahrnutých do vzorku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_Toc91066224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8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5" w:history="1">
        <w:r w:rsidR="00A268C7" w:rsidRPr="00891D25">
          <w:rPr>
            <w:rStyle w:val="Hypertextovodkaz"/>
            <w:rFonts w:cs="Arial"/>
            <w:noProof/>
            <w:sz w:val="22"/>
          </w:rPr>
          <w:t>Tabulka č. 4 – Počet internetových stránek sledovaných metodou zjednodušeného sledování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_Toc91066225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8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6" w:history="1">
        <w:r w:rsidR="00A268C7" w:rsidRPr="00891D25">
          <w:rPr>
            <w:rStyle w:val="Hypertextovodkaz"/>
            <w:rFonts w:cs="Arial"/>
            <w:noProof/>
            <w:sz w:val="22"/>
          </w:rPr>
          <w:t>Tabulka č. 5 – Počet internetových stránek a mobilních aplikací sledovaných metodou důkladného sledování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_Toc91066226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8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7" w:history="1">
        <w:r w:rsidR="00A268C7" w:rsidRPr="00891D25">
          <w:rPr>
            <w:rStyle w:val="Hypertextovodkaz"/>
            <w:rFonts w:cs="Arial"/>
            <w:noProof/>
            <w:sz w:val="22"/>
          </w:rPr>
          <w:t>Tabulka č. 6 – Počet internetových stránek z každé ze čtyř kategorií uvedených v bodě 2.2.2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_Toc91066227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9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8" w:history="1">
        <w:r w:rsidR="00A268C7" w:rsidRPr="00891D25">
          <w:rPr>
            <w:rStyle w:val="Hypertextovodkaz"/>
            <w:rFonts w:cs="Arial"/>
            <w:noProof/>
            <w:sz w:val="22"/>
          </w:rPr>
          <w:t>Tabulka č. 7 – Rozložení vzorku internetových stránek reprezentující škálu veřejných služeb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_Toc91066228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9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29" w:history="1">
        <w:r w:rsidR="00A268C7" w:rsidRPr="00891D25">
          <w:rPr>
            <w:rStyle w:val="Hypertextovodkaz"/>
            <w:rFonts w:cs="Arial"/>
            <w:noProof/>
            <w:sz w:val="22"/>
          </w:rPr>
          <w:t>Tabulka č. 8 – Rozložení vzorku mobilních aplikací reprezentující různé operační systémy</w:t>
        </w:r>
        <w:r w:rsidR="00A268C7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_Toc91066229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10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30" w:history="1">
        <w:r w:rsidR="00A268C7" w:rsidRPr="00891D25">
          <w:rPr>
            <w:rStyle w:val="Hypertextovodkaz"/>
            <w:rFonts w:cs="Arial"/>
            <w:noProof/>
            <w:sz w:val="22"/>
          </w:rPr>
          <w:t>Tabulka č. 9 – Výsledky sledování a údaje z měření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_Toc91066230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11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Pr="00891D25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0"/>
          <w:lang w:eastAsia="cs-CZ"/>
        </w:rPr>
      </w:pPr>
      <w:hyperlink w:anchor="_Toc91066231" w:history="1">
        <w:r w:rsidR="00A268C7" w:rsidRPr="00891D25">
          <w:rPr>
            <w:rStyle w:val="Hypertextovodkaz"/>
            <w:rFonts w:cs="Arial"/>
            <w:noProof/>
            <w:sz w:val="22"/>
          </w:rPr>
          <w:t>Tabulka č. 10 – Internetové stránky - Srovnávací tabulka ověřující soulad s požadavky Harmonizované normy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_Toc91066231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12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A268C7" w:rsidRDefault="00B3754B">
      <w:pPr>
        <w:pStyle w:val="Seznamobrzk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1066232" w:history="1">
        <w:r w:rsidR="00A268C7" w:rsidRPr="00891D25">
          <w:rPr>
            <w:rStyle w:val="Hypertextovodkaz"/>
            <w:rFonts w:cs="Arial"/>
            <w:noProof/>
            <w:sz w:val="22"/>
          </w:rPr>
          <w:t>Tabulka č. 11 – Mobilní aplikace - Srovnávací tabulka ověřující soulad s požadavky Harmonizované normy</w:t>
        </w:r>
        <w:r w:rsidR="00A268C7" w:rsidRPr="00891D25">
          <w:rPr>
            <w:noProof/>
            <w:webHidden/>
            <w:sz w:val="22"/>
          </w:rPr>
          <w:tab/>
        </w:r>
        <w:r w:rsidR="00A268C7" w:rsidRPr="00891D25">
          <w:rPr>
            <w:noProof/>
            <w:webHidden/>
            <w:sz w:val="22"/>
          </w:rPr>
          <w:fldChar w:fldCharType="begin"/>
        </w:r>
        <w:r w:rsidR="00A268C7" w:rsidRPr="00891D25">
          <w:rPr>
            <w:noProof/>
            <w:webHidden/>
            <w:sz w:val="22"/>
          </w:rPr>
          <w:instrText xml:space="preserve"> PAGEREF _Toc91066232 \h </w:instrText>
        </w:r>
        <w:r w:rsidR="00A268C7" w:rsidRPr="00891D25">
          <w:rPr>
            <w:noProof/>
            <w:webHidden/>
            <w:sz w:val="22"/>
          </w:rPr>
        </w:r>
        <w:r w:rsidR="00A268C7" w:rsidRPr="00891D25">
          <w:rPr>
            <w:noProof/>
            <w:webHidden/>
            <w:sz w:val="22"/>
          </w:rPr>
          <w:fldChar w:fldCharType="separate"/>
        </w:r>
        <w:r w:rsidR="00025FCE">
          <w:rPr>
            <w:noProof/>
            <w:webHidden/>
            <w:sz w:val="22"/>
          </w:rPr>
          <w:t>15</w:t>
        </w:r>
        <w:r w:rsidR="00A268C7" w:rsidRPr="00891D25">
          <w:rPr>
            <w:noProof/>
            <w:webHidden/>
            <w:sz w:val="22"/>
          </w:rPr>
          <w:fldChar w:fldCharType="end"/>
        </w:r>
      </w:hyperlink>
    </w:p>
    <w:p w:rsidR="001C4FE0" w:rsidRDefault="001C4FE0" w:rsidP="001C4FE0">
      <w:r w:rsidRPr="003B7032">
        <w:fldChar w:fldCharType="end"/>
      </w:r>
    </w:p>
    <w:p w:rsidR="001C4FE0" w:rsidRDefault="001C4FE0" w:rsidP="00891D25">
      <w:pPr>
        <w:pStyle w:val="Nadpis1"/>
        <w:keepNext/>
        <w:keepLines/>
        <w:numPr>
          <w:ilvl w:val="0"/>
          <w:numId w:val="0"/>
        </w:numPr>
        <w:spacing w:after="240" w:line="259" w:lineRule="auto"/>
        <w:ind w:left="431" w:hanging="431"/>
        <w:jc w:val="both"/>
      </w:pPr>
      <w:bookmarkStart w:id="114" w:name="_Toc91067517"/>
      <w:r w:rsidRPr="00513557">
        <w:rPr>
          <w:rFonts w:cs="Arial"/>
          <w:color w:val="002060"/>
          <w:sz w:val="24"/>
          <w:szCs w:val="24"/>
        </w:rPr>
        <w:t xml:space="preserve">Seznam </w:t>
      </w:r>
      <w:r>
        <w:rPr>
          <w:rFonts w:cs="Arial"/>
          <w:color w:val="002060"/>
          <w:sz w:val="24"/>
          <w:szCs w:val="24"/>
        </w:rPr>
        <w:t>zkratek</w:t>
      </w:r>
      <w:bookmarkEnd w:id="114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7240"/>
      </w:tblGrid>
      <w:tr w:rsidR="001C4FE0" w:rsidRPr="00B57B6C" w:rsidTr="001B6B74">
        <w:trPr>
          <w:trHeight w:val="284"/>
        </w:trPr>
        <w:tc>
          <w:tcPr>
            <w:tcW w:w="2105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 w:rsidRPr="00094B41">
              <w:rPr>
                <w:sz w:val="22"/>
              </w:rPr>
              <w:t>Zpráva</w:t>
            </w:r>
          </w:p>
        </w:tc>
        <w:tc>
          <w:tcPr>
            <w:tcW w:w="7240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>
              <w:rPr>
                <w:sz w:val="22"/>
              </w:rPr>
              <w:t>zpráva</w:t>
            </w:r>
            <w:r w:rsidRPr="00173B4E">
              <w:rPr>
                <w:sz w:val="22"/>
              </w:rPr>
              <w:t xml:space="preserve"> o výsledcích kontrol přístupnosti internetových stránek a mobilních aplikací za první sledované období, tj. za rok 2020–2021</w:t>
            </w:r>
          </w:p>
        </w:tc>
      </w:tr>
      <w:tr w:rsidR="001C4FE0" w:rsidRPr="00B57B6C" w:rsidTr="001B6B74">
        <w:trPr>
          <w:trHeight w:val="284"/>
        </w:trPr>
        <w:tc>
          <w:tcPr>
            <w:tcW w:w="2105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 w:rsidRPr="00094B41">
              <w:rPr>
                <w:sz w:val="22"/>
              </w:rPr>
              <w:t>zákon o přístupnosti</w:t>
            </w:r>
          </w:p>
        </w:tc>
        <w:tc>
          <w:tcPr>
            <w:tcW w:w="7240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>
              <w:rPr>
                <w:sz w:val="22"/>
              </w:rPr>
              <w:t>zákon</w:t>
            </w:r>
            <w:r w:rsidRPr="00173B4E">
              <w:rPr>
                <w:sz w:val="22"/>
              </w:rPr>
              <w:t xml:space="preserve"> č. 99/2019 Sb., o přístupnosti internetových stránek a mobilních aplikací a o změně zákona č. 365/2000 Sb., o informačních systémech veřejné správy a o změně některých dalších zákonů ve znění pozdějších předpisů</w:t>
            </w:r>
          </w:p>
        </w:tc>
      </w:tr>
      <w:tr w:rsidR="001C4FE0" w:rsidRPr="00B57B6C" w:rsidTr="001B6B74">
        <w:trPr>
          <w:trHeight w:val="284"/>
        </w:trPr>
        <w:tc>
          <w:tcPr>
            <w:tcW w:w="2105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 w:rsidRPr="00173B4E">
              <w:rPr>
                <w:sz w:val="22"/>
              </w:rPr>
              <w:t>směrnice</w:t>
            </w:r>
          </w:p>
        </w:tc>
        <w:tc>
          <w:tcPr>
            <w:tcW w:w="7240" w:type="dxa"/>
            <w:vAlign w:val="center"/>
          </w:tcPr>
          <w:p w:rsidR="001C4FE0" w:rsidRPr="00B57B6C" w:rsidRDefault="001C4FE0" w:rsidP="00891D25">
            <w:pPr>
              <w:spacing w:before="60" w:after="60" w:line="264" w:lineRule="auto"/>
              <w:rPr>
                <w:sz w:val="22"/>
              </w:rPr>
            </w:pPr>
            <w:r>
              <w:rPr>
                <w:sz w:val="22"/>
              </w:rPr>
              <w:t>směrnice</w:t>
            </w:r>
            <w:r w:rsidRPr="00173B4E">
              <w:rPr>
                <w:sz w:val="22"/>
              </w:rPr>
              <w:t xml:space="preserve"> Evropského parlamentu a</w:t>
            </w:r>
            <w:r>
              <w:rPr>
                <w:sz w:val="22"/>
              </w:rPr>
              <w:t xml:space="preserve"> Rady (EU) 2016/2102 ze dne 26. </w:t>
            </w:r>
            <w:r w:rsidRPr="00173B4E">
              <w:rPr>
                <w:sz w:val="22"/>
              </w:rPr>
              <w:t>října 2016 o přístupnosti internetových stránek a mobilních aplikací subjektů veřejného sektoru</w:t>
            </w:r>
          </w:p>
        </w:tc>
      </w:tr>
    </w:tbl>
    <w:p w:rsidR="00166B15" w:rsidRPr="006B52C1" w:rsidRDefault="00166B15" w:rsidP="00891D25">
      <w:pPr>
        <w:rPr>
          <w:rFonts w:cs="Arial"/>
        </w:rPr>
      </w:pPr>
    </w:p>
    <w:sectPr w:rsidR="00166B15" w:rsidRPr="006B52C1" w:rsidSect="00891D25">
      <w:headerReference w:type="default" r:id="rId16"/>
      <w:footerReference w:type="default" r:id="rId17"/>
      <w:pgSz w:w="11906" w:h="16838" w:code="9"/>
      <w:pgMar w:top="1928" w:right="1134" w:bottom="1701" w:left="1701" w:header="198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4B" w:rsidRDefault="00B3754B" w:rsidP="006279ED">
      <w:pPr>
        <w:spacing w:after="0" w:line="240" w:lineRule="auto"/>
      </w:pPr>
      <w:r>
        <w:separator/>
      </w:r>
    </w:p>
  </w:endnote>
  <w:endnote w:type="continuationSeparator" w:id="0">
    <w:p w:rsidR="00B3754B" w:rsidRDefault="00B3754B" w:rsidP="0062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4" w:rsidRDefault="001B6B74" w:rsidP="00891D25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7446"/>
      <w:docPartObj>
        <w:docPartGallery w:val="Page Numbers (Bottom of Page)"/>
        <w:docPartUnique/>
      </w:docPartObj>
    </w:sdtPr>
    <w:sdtEndPr/>
    <w:sdtContent>
      <w:p w:rsidR="001B6B74" w:rsidRDefault="001B6B74" w:rsidP="00401241">
        <w:pPr>
          <w:pStyle w:val="Zpat"/>
          <w:jc w:val="right"/>
        </w:pPr>
        <w:r>
          <w:t>2</w:t>
        </w:r>
      </w:p>
    </w:sdtContent>
  </w:sdt>
  <w:p w:rsidR="001B6B74" w:rsidRDefault="001B6B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4" w:rsidRDefault="001B6B74" w:rsidP="00891D25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899456"/>
      <w:docPartObj>
        <w:docPartGallery w:val="Page Numbers (Bottom of Page)"/>
        <w:docPartUnique/>
      </w:docPartObj>
    </w:sdtPr>
    <w:sdtEndPr/>
    <w:sdtContent>
      <w:p w:rsidR="001B6B74" w:rsidRDefault="001B6B74" w:rsidP="00891D25">
        <w:pPr>
          <w:pStyle w:val="Zpat"/>
          <w:jc w:val="right"/>
        </w:pPr>
        <w:r>
          <w:t xml:space="preserve">Strana </w:t>
        </w:r>
        <w:sdt>
          <w:sdtPr>
            <w:id w:val="-2023998103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025FCE">
              <w:rPr>
                <w:noProof/>
              </w:rPr>
              <w:t>10</w:t>
            </w:r>
            <w:r>
              <w:fldChar w:fldCharType="end"/>
            </w:r>
            <w:r>
              <w:t xml:space="preserve"> z </w:t>
            </w:r>
            <w:fldSimple w:instr=" NUMPAGES   \* MERGEFORMAT ">
              <w:r w:rsidR="00025FCE">
                <w:rPr>
                  <w:noProof/>
                </w:rPr>
                <w:t>19</w:t>
              </w:r>
            </w:fldSimple>
          </w:sdtContent>
        </w:sdt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377246"/>
      <w:docPartObj>
        <w:docPartGallery w:val="Page Numbers (Bottom of Page)"/>
        <w:docPartUnique/>
      </w:docPartObj>
    </w:sdtPr>
    <w:sdtEndPr/>
    <w:sdtContent>
      <w:p w:rsidR="001B6B74" w:rsidRDefault="001B6B74" w:rsidP="001B6B74">
        <w:pPr>
          <w:pStyle w:val="Zpat"/>
          <w:jc w:val="right"/>
        </w:pPr>
        <w:r>
          <w:t xml:space="preserve">Strana </w:t>
        </w:r>
        <w:sdt>
          <w:sdtPr>
            <w:id w:val="1687636866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025FCE">
              <w:rPr>
                <w:noProof/>
              </w:rPr>
              <w:t>19</w:t>
            </w:r>
            <w:r>
              <w:fldChar w:fldCharType="end"/>
            </w:r>
            <w:r>
              <w:t xml:space="preserve"> z </w:t>
            </w:r>
            <w:fldSimple w:instr=" NUMPAGES   \* MERGEFORMAT ">
              <w:r w:rsidR="00025FCE">
                <w:rPr>
                  <w:noProof/>
                </w:rPr>
                <w:t>19</w:t>
              </w:r>
            </w:fldSimple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4B" w:rsidRDefault="00B3754B" w:rsidP="006279ED">
      <w:pPr>
        <w:spacing w:after="0" w:line="240" w:lineRule="auto"/>
      </w:pPr>
      <w:r>
        <w:separator/>
      </w:r>
    </w:p>
  </w:footnote>
  <w:footnote w:type="continuationSeparator" w:id="0">
    <w:p w:rsidR="00B3754B" w:rsidRDefault="00B3754B" w:rsidP="006279ED">
      <w:pPr>
        <w:spacing w:after="0" w:line="240" w:lineRule="auto"/>
      </w:pPr>
      <w:r>
        <w:continuationSeparator/>
      </w:r>
    </w:p>
  </w:footnote>
  <w:footnote w:id="1">
    <w:p w:rsidR="001B6B74" w:rsidRPr="00D71C66" w:rsidRDefault="001B6B74" w:rsidP="007A184C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662986">
        <w:t>https://www.sons.cz/</w:t>
      </w:r>
    </w:p>
  </w:footnote>
  <w:footnote w:id="2">
    <w:p w:rsidR="001B6B74" w:rsidRPr="00D71C66" w:rsidRDefault="001B6B74" w:rsidP="007A184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Zástupci M</w:t>
      </w:r>
      <w:r w:rsidRPr="00953E10">
        <w:t xml:space="preserve">VČR a SONS ČR, z.s. uzavřeli v roce 2018 Memorandum o spolupráci. Cílem memoranda je dlouhodobá spolupráce v oblasti zajištění požadavků na přístupnost stávajících i nově vznikajících nástrojů </w:t>
      </w:r>
      <w:r>
        <w:br/>
      </w:r>
      <w:r w:rsidRPr="00953E10">
        <w:t xml:space="preserve">a služeb eGovernmentu, spolupráce v propagaci přístupnosti v oblasti státní správy a ve zvyšování povědomí </w:t>
      </w:r>
      <w:r>
        <w:br/>
      </w:r>
      <w:r w:rsidRPr="00953E10">
        <w:t xml:space="preserve">o otázkách přístupnosti při vývoji nových nástrojů eGovernmentu. </w:t>
      </w:r>
    </w:p>
  </w:footnote>
  <w:footnote w:id="3">
    <w:p w:rsidR="001B6B74" w:rsidRPr="00D71C66" w:rsidRDefault="001B6B74" w:rsidP="007A184C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CA15D5">
        <w:t>https://www.w3.org/TR/WCAG21/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4" w:rsidRDefault="001B6B74" w:rsidP="002F36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2065A667" wp14:editId="76AD857F">
          <wp:simplePos x="0" y="0"/>
          <wp:positionH relativeFrom="margin">
            <wp:posOffset>-13335</wp:posOffset>
          </wp:positionH>
          <wp:positionV relativeFrom="margin">
            <wp:posOffset>-1021715</wp:posOffset>
          </wp:positionV>
          <wp:extent cx="1979295" cy="542925"/>
          <wp:effectExtent l="19050" t="0" r="1905" b="0"/>
          <wp:wrapSquare wrapText="bothSides"/>
          <wp:docPr id="26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4" w:rsidRDefault="001B6B74" w:rsidP="002F36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-13335</wp:posOffset>
          </wp:positionH>
          <wp:positionV relativeFrom="margin">
            <wp:posOffset>-1021715</wp:posOffset>
          </wp:positionV>
          <wp:extent cx="1979295" cy="542925"/>
          <wp:effectExtent l="19050" t="0" r="1905" b="0"/>
          <wp:wrapSquare wrapText="bothSides"/>
          <wp:docPr id="2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74" w:rsidRDefault="001B6B74" w:rsidP="002F36F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7E1290E8" wp14:editId="294E0EDE">
          <wp:simplePos x="0" y="0"/>
          <wp:positionH relativeFrom="margin">
            <wp:posOffset>-13335</wp:posOffset>
          </wp:positionH>
          <wp:positionV relativeFrom="margin">
            <wp:posOffset>-1021715</wp:posOffset>
          </wp:positionV>
          <wp:extent cx="1979295" cy="542925"/>
          <wp:effectExtent l="19050" t="0" r="190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B7A"/>
    <w:multiLevelType w:val="hybridMultilevel"/>
    <w:tmpl w:val="D3FA9E36"/>
    <w:lvl w:ilvl="0" w:tplc="1626F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B07C5"/>
    <w:multiLevelType w:val="multilevel"/>
    <w:tmpl w:val="14D8FD6A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4724815"/>
    <w:multiLevelType w:val="hybridMultilevel"/>
    <w:tmpl w:val="8A125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805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7B43218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D327C9"/>
    <w:multiLevelType w:val="hybridMultilevel"/>
    <w:tmpl w:val="2BEEC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3DEB"/>
    <w:multiLevelType w:val="hybridMultilevel"/>
    <w:tmpl w:val="8A125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52707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3747624"/>
    <w:multiLevelType w:val="hybridMultilevel"/>
    <w:tmpl w:val="0CCEBB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2830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4F44D2F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BB27911"/>
    <w:multiLevelType w:val="hybridMultilevel"/>
    <w:tmpl w:val="BC62B6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AC06F5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DC04996"/>
    <w:multiLevelType w:val="singleLevel"/>
    <w:tmpl w:val="D1F099D4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</w:abstractNum>
  <w:abstractNum w:abstractNumId="14" w15:restartNumberingAfterBreak="0">
    <w:nsid w:val="323F5ADF"/>
    <w:multiLevelType w:val="multilevel"/>
    <w:tmpl w:val="D54A2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BF5F52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3E101D1"/>
    <w:multiLevelType w:val="multilevel"/>
    <w:tmpl w:val="D3562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56988"/>
    <w:multiLevelType w:val="multilevel"/>
    <w:tmpl w:val="4FF24E22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BF13F1E"/>
    <w:multiLevelType w:val="singleLevel"/>
    <w:tmpl w:val="D1F099D4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</w:abstractNum>
  <w:abstractNum w:abstractNumId="19" w15:restartNumberingAfterBreak="0">
    <w:nsid w:val="40D27A28"/>
    <w:multiLevelType w:val="hybridMultilevel"/>
    <w:tmpl w:val="FF3A1BA6"/>
    <w:lvl w:ilvl="0" w:tplc="7EB2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8B2D4F"/>
    <w:multiLevelType w:val="hybridMultilevel"/>
    <w:tmpl w:val="AA9A7BF0"/>
    <w:lvl w:ilvl="0" w:tplc="48DC8B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B1169"/>
    <w:multiLevelType w:val="hybridMultilevel"/>
    <w:tmpl w:val="FF26DF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969D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1868B8"/>
    <w:multiLevelType w:val="multilevel"/>
    <w:tmpl w:val="E2D2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CF20A9D"/>
    <w:multiLevelType w:val="hybridMultilevel"/>
    <w:tmpl w:val="8A125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7203"/>
    <w:multiLevelType w:val="hybridMultilevel"/>
    <w:tmpl w:val="41DC14F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A17F6A"/>
    <w:multiLevelType w:val="hybridMultilevel"/>
    <w:tmpl w:val="85BC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B770B"/>
    <w:multiLevelType w:val="multilevel"/>
    <w:tmpl w:val="5D4A6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FED2BB3"/>
    <w:multiLevelType w:val="hybridMultilevel"/>
    <w:tmpl w:val="388EEFCA"/>
    <w:lvl w:ilvl="0" w:tplc="040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9" w15:restartNumberingAfterBreak="0">
    <w:nsid w:val="72753195"/>
    <w:multiLevelType w:val="hybridMultilevel"/>
    <w:tmpl w:val="BC62B6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B3553E"/>
    <w:multiLevelType w:val="hybridMultilevel"/>
    <w:tmpl w:val="0C7E9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D516B"/>
    <w:multiLevelType w:val="hybridMultilevel"/>
    <w:tmpl w:val="FE7EC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1"/>
  </w:num>
  <w:num w:numId="5">
    <w:abstractNumId w:val="17"/>
  </w:num>
  <w:num w:numId="6">
    <w:abstractNumId w:val="31"/>
  </w:num>
  <w:num w:numId="7">
    <w:abstractNumId w:val="9"/>
  </w:num>
  <w:num w:numId="8">
    <w:abstractNumId w:val="26"/>
  </w:num>
  <w:num w:numId="9">
    <w:abstractNumId w:val="10"/>
  </w:num>
  <w:num w:numId="10">
    <w:abstractNumId w:val="6"/>
  </w:num>
  <w:num w:numId="11">
    <w:abstractNumId w:val="24"/>
  </w:num>
  <w:num w:numId="12">
    <w:abstractNumId w:val="2"/>
  </w:num>
  <w:num w:numId="13">
    <w:abstractNumId w:val="20"/>
  </w:num>
  <w:num w:numId="14">
    <w:abstractNumId w:val="14"/>
  </w:num>
  <w:num w:numId="15">
    <w:abstractNumId w:val="19"/>
  </w:num>
  <w:num w:numId="16">
    <w:abstractNumId w:val="0"/>
  </w:num>
  <w:num w:numId="17">
    <w:abstractNumId w:val="16"/>
  </w:num>
  <w:num w:numId="18">
    <w:abstractNumId w:val="8"/>
  </w:num>
  <w:num w:numId="19">
    <w:abstractNumId w:val="21"/>
  </w:num>
  <w:num w:numId="20">
    <w:abstractNumId w:val="5"/>
  </w:num>
  <w:num w:numId="21">
    <w:abstractNumId w:val="29"/>
  </w:num>
  <w:num w:numId="22">
    <w:abstractNumId w:val="30"/>
  </w:num>
  <w:num w:numId="23">
    <w:abstractNumId w:val="25"/>
  </w:num>
  <w:num w:numId="24">
    <w:abstractNumId w:val="28"/>
  </w:num>
  <w:num w:numId="25">
    <w:abstractNumId w:val="4"/>
  </w:num>
  <w:num w:numId="26">
    <w:abstractNumId w:val="3"/>
  </w:num>
  <w:num w:numId="27">
    <w:abstractNumId w:val="7"/>
  </w:num>
  <w:num w:numId="28">
    <w:abstractNumId w:val="27"/>
  </w:num>
  <w:num w:numId="29">
    <w:abstractNumId w:val="12"/>
  </w:num>
  <w:num w:numId="30">
    <w:abstractNumId w:val="15"/>
  </w:num>
  <w:num w:numId="31">
    <w:abstractNumId w:val="2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5C"/>
    <w:rsid w:val="000168CF"/>
    <w:rsid w:val="00025FCE"/>
    <w:rsid w:val="000262F9"/>
    <w:rsid w:val="000268D3"/>
    <w:rsid w:val="00032633"/>
    <w:rsid w:val="00033791"/>
    <w:rsid w:val="00050E06"/>
    <w:rsid w:val="00083465"/>
    <w:rsid w:val="0008586D"/>
    <w:rsid w:val="00094B41"/>
    <w:rsid w:val="000A071A"/>
    <w:rsid w:val="000B33DC"/>
    <w:rsid w:val="000B355C"/>
    <w:rsid w:val="000C6BED"/>
    <w:rsid w:val="000E6E1D"/>
    <w:rsid w:val="000E6F41"/>
    <w:rsid w:val="000E7E6F"/>
    <w:rsid w:val="000F53FB"/>
    <w:rsid w:val="00102365"/>
    <w:rsid w:val="00120189"/>
    <w:rsid w:val="001458F1"/>
    <w:rsid w:val="001523DE"/>
    <w:rsid w:val="0015335E"/>
    <w:rsid w:val="0016581E"/>
    <w:rsid w:val="00166B15"/>
    <w:rsid w:val="00171354"/>
    <w:rsid w:val="00173B4E"/>
    <w:rsid w:val="001827E6"/>
    <w:rsid w:val="00184F3B"/>
    <w:rsid w:val="00194A3F"/>
    <w:rsid w:val="00194E46"/>
    <w:rsid w:val="001B6B74"/>
    <w:rsid w:val="001C353F"/>
    <w:rsid w:val="001C4FE0"/>
    <w:rsid w:val="001F011E"/>
    <w:rsid w:val="00201263"/>
    <w:rsid w:val="00205835"/>
    <w:rsid w:val="00216E5E"/>
    <w:rsid w:val="0022417D"/>
    <w:rsid w:val="00227AFB"/>
    <w:rsid w:val="00233B6B"/>
    <w:rsid w:val="002363EF"/>
    <w:rsid w:val="002415AD"/>
    <w:rsid w:val="00244444"/>
    <w:rsid w:val="002476FD"/>
    <w:rsid w:val="00262B13"/>
    <w:rsid w:val="00262BB7"/>
    <w:rsid w:val="00266081"/>
    <w:rsid w:val="00283CCA"/>
    <w:rsid w:val="00292D42"/>
    <w:rsid w:val="00295B5C"/>
    <w:rsid w:val="002B504D"/>
    <w:rsid w:val="002B6630"/>
    <w:rsid w:val="002D0ADE"/>
    <w:rsid w:val="002E2C93"/>
    <w:rsid w:val="002F36FB"/>
    <w:rsid w:val="002F3E42"/>
    <w:rsid w:val="002F7918"/>
    <w:rsid w:val="00315DFC"/>
    <w:rsid w:val="0031657B"/>
    <w:rsid w:val="003213F8"/>
    <w:rsid w:val="00334CA1"/>
    <w:rsid w:val="003441A0"/>
    <w:rsid w:val="003512A8"/>
    <w:rsid w:val="00354DF6"/>
    <w:rsid w:val="003560E6"/>
    <w:rsid w:val="00362B49"/>
    <w:rsid w:val="003830AF"/>
    <w:rsid w:val="0038587E"/>
    <w:rsid w:val="003877FA"/>
    <w:rsid w:val="0039158C"/>
    <w:rsid w:val="003971EE"/>
    <w:rsid w:val="00397BB4"/>
    <w:rsid w:val="003A58F9"/>
    <w:rsid w:val="003B2076"/>
    <w:rsid w:val="003B7032"/>
    <w:rsid w:val="003C098B"/>
    <w:rsid w:val="003C4423"/>
    <w:rsid w:val="003D6043"/>
    <w:rsid w:val="003E5698"/>
    <w:rsid w:val="003E5C2D"/>
    <w:rsid w:val="003E5DD0"/>
    <w:rsid w:val="00401241"/>
    <w:rsid w:val="00412B85"/>
    <w:rsid w:val="00433320"/>
    <w:rsid w:val="00443F93"/>
    <w:rsid w:val="00444DFD"/>
    <w:rsid w:val="00453213"/>
    <w:rsid w:val="004540EC"/>
    <w:rsid w:val="00455CA3"/>
    <w:rsid w:val="004579F6"/>
    <w:rsid w:val="004615E9"/>
    <w:rsid w:val="00464FA5"/>
    <w:rsid w:val="00476202"/>
    <w:rsid w:val="004816C6"/>
    <w:rsid w:val="00485610"/>
    <w:rsid w:val="0048645E"/>
    <w:rsid w:val="00494CB3"/>
    <w:rsid w:val="004B68B9"/>
    <w:rsid w:val="004B7F51"/>
    <w:rsid w:val="004C2159"/>
    <w:rsid w:val="004C7254"/>
    <w:rsid w:val="004D05EA"/>
    <w:rsid w:val="004E39BF"/>
    <w:rsid w:val="004F0BBD"/>
    <w:rsid w:val="004F128A"/>
    <w:rsid w:val="004F7D75"/>
    <w:rsid w:val="00513557"/>
    <w:rsid w:val="00526CDA"/>
    <w:rsid w:val="00544D49"/>
    <w:rsid w:val="00547514"/>
    <w:rsid w:val="005558D0"/>
    <w:rsid w:val="005735DE"/>
    <w:rsid w:val="00586569"/>
    <w:rsid w:val="005957A6"/>
    <w:rsid w:val="005A3C98"/>
    <w:rsid w:val="005A3D36"/>
    <w:rsid w:val="005A593D"/>
    <w:rsid w:val="005B4615"/>
    <w:rsid w:val="005B5837"/>
    <w:rsid w:val="005D674A"/>
    <w:rsid w:val="005E0231"/>
    <w:rsid w:val="005E57DE"/>
    <w:rsid w:val="005F67C6"/>
    <w:rsid w:val="00610085"/>
    <w:rsid w:val="00620D55"/>
    <w:rsid w:val="006279ED"/>
    <w:rsid w:val="00641D79"/>
    <w:rsid w:val="0066653C"/>
    <w:rsid w:val="006804D9"/>
    <w:rsid w:val="00686E1C"/>
    <w:rsid w:val="00687A50"/>
    <w:rsid w:val="00695F12"/>
    <w:rsid w:val="006A1101"/>
    <w:rsid w:val="006A490A"/>
    <w:rsid w:val="006A5CE4"/>
    <w:rsid w:val="006A7C2B"/>
    <w:rsid w:val="006B1712"/>
    <w:rsid w:val="006B4108"/>
    <w:rsid w:val="006B52C1"/>
    <w:rsid w:val="006B7253"/>
    <w:rsid w:val="006E3781"/>
    <w:rsid w:val="006F41DA"/>
    <w:rsid w:val="006F543D"/>
    <w:rsid w:val="006F7C98"/>
    <w:rsid w:val="00704C4D"/>
    <w:rsid w:val="00706B89"/>
    <w:rsid w:val="007226C4"/>
    <w:rsid w:val="00727EAD"/>
    <w:rsid w:val="007378C2"/>
    <w:rsid w:val="00750B46"/>
    <w:rsid w:val="007600E3"/>
    <w:rsid w:val="00776740"/>
    <w:rsid w:val="00781DA2"/>
    <w:rsid w:val="0078322B"/>
    <w:rsid w:val="00797DD4"/>
    <w:rsid w:val="007A0D2E"/>
    <w:rsid w:val="007A184C"/>
    <w:rsid w:val="007A6769"/>
    <w:rsid w:val="007C16D5"/>
    <w:rsid w:val="007C59E5"/>
    <w:rsid w:val="007E0F6C"/>
    <w:rsid w:val="007F408A"/>
    <w:rsid w:val="00810F3B"/>
    <w:rsid w:val="00814259"/>
    <w:rsid w:val="0081761D"/>
    <w:rsid w:val="00817E42"/>
    <w:rsid w:val="00826B85"/>
    <w:rsid w:val="00840391"/>
    <w:rsid w:val="0084446C"/>
    <w:rsid w:val="0084615F"/>
    <w:rsid w:val="008511A0"/>
    <w:rsid w:val="0085184D"/>
    <w:rsid w:val="0085576A"/>
    <w:rsid w:val="00870FB6"/>
    <w:rsid w:val="00881F46"/>
    <w:rsid w:val="008840A5"/>
    <w:rsid w:val="00891D25"/>
    <w:rsid w:val="00895EF9"/>
    <w:rsid w:val="00896B42"/>
    <w:rsid w:val="008E2B6A"/>
    <w:rsid w:val="008E579B"/>
    <w:rsid w:val="008F4507"/>
    <w:rsid w:val="00900523"/>
    <w:rsid w:val="00906AC3"/>
    <w:rsid w:val="00916834"/>
    <w:rsid w:val="0092235D"/>
    <w:rsid w:val="00924939"/>
    <w:rsid w:val="0092781E"/>
    <w:rsid w:val="00931877"/>
    <w:rsid w:val="00931E1A"/>
    <w:rsid w:val="00945C28"/>
    <w:rsid w:val="0095336C"/>
    <w:rsid w:val="00955C1D"/>
    <w:rsid w:val="00955E23"/>
    <w:rsid w:val="009576BC"/>
    <w:rsid w:val="00960746"/>
    <w:rsid w:val="00961295"/>
    <w:rsid w:val="009612EA"/>
    <w:rsid w:val="00963CD4"/>
    <w:rsid w:val="00970AE5"/>
    <w:rsid w:val="009725C8"/>
    <w:rsid w:val="00982294"/>
    <w:rsid w:val="00984794"/>
    <w:rsid w:val="009876F1"/>
    <w:rsid w:val="0098791E"/>
    <w:rsid w:val="00996566"/>
    <w:rsid w:val="009A7F9B"/>
    <w:rsid w:val="009B230A"/>
    <w:rsid w:val="009C4A29"/>
    <w:rsid w:val="009E1C13"/>
    <w:rsid w:val="009E31FF"/>
    <w:rsid w:val="009E37D4"/>
    <w:rsid w:val="009F37AC"/>
    <w:rsid w:val="00A070D5"/>
    <w:rsid w:val="00A135CE"/>
    <w:rsid w:val="00A15189"/>
    <w:rsid w:val="00A2225B"/>
    <w:rsid w:val="00A248AF"/>
    <w:rsid w:val="00A268C7"/>
    <w:rsid w:val="00A30F8A"/>
    <w:rsid w:val="00A365B2"/>
    <w:rsid w:val="00A45704"/>
    <w:rsid w:val="00A47133"/>
    <w:rsid w:val="00A52EB9"/>
    <w:rsid w:val="00A65687"/>
    <w:rsid w:val="00A66969"/>
    <w:rsid w:val="00A70D18"/>
    <w:rsid w:val="00A70FA4"/>
    <w:rsid w:val="00A85A28"/>
    <w:rsid w:val="00A87A83"/>
    <w:rsid w:val="00A94440"/>
    <w:rsid w:val="00AA4ED3"/>
    <w:rsid w:val="00AA6906"/>
    <w:rsid w:val="00AB76DF"/>
    <w:rsid w:val="00AB7BA6"/>
    <w:rsid w:val="00AC0514"/>
    <w:rsid w:val="00AC1BBB"/>
    <w:rsid w:val="00AD4111"/>
    <w:rsid w:val="00B0503C"/>
    <w:rsid w:val="00B0576F"/>
    <w:rsid w:val="00B10862"/>
    <w:rsid w:val="00B17908"/>
    <w:rsid w:val="00B23012"/>
    <w:rsid w:val="00B25915"/>
    <w:rsid w:val="00B2597D"/>
    <w:rsid w:val="00B26783"/>
    <w:rsid w:val="00B31018"/>
    <w:rsid w:val="00B3754B"/>
    <w:rsid w:val="00B37B99"/>
    <w:rsid w:val="00B53F4B"/>
    <w:rsid w:val="00B556E1"/>
    <w:rsid w:val="00B6120D"/>
    <w:rsid w:val="00B61CB2"/>
    <w:rsid w:val="00B62ECE"/>
    <w:rsid w:val="00B75F13"/>
    <w:rsid w:val="00B82E91"/>
    <w:rsid w:val="00B9172C"/>
    <w:rsid w:val="00B96A76"/>
    <w:rsid w:val="00B97A26"/>
    <w:rsid w:val="00BC28F3"/>
    <w:rsid w:val="00BC3CA7"/>
    <w:rsid w:val="00C001FA"/>
    <w:rsid w:val="00C14D2C"/>
    <w:rsid w:val="00C1563B"/>
    <w:rsid w:val="00C15CE2"/>
    <w:rsid w:val="00C2131A"/>
    <w:rsid w:val="00C30977"/>
    <w:rsid w:val="00C32BF4"/>
    <w:rsid w:val="00C42566"/>
    <w:rsid w:val="00C475E4"/>
    <w:rsid w:val="00C51CBB"/>
    <w:rsid w:val="00C60DB2"/>
    <w:rsid w:val="00C70243"/>
    <w:rsid w:val="00C73505"/>
    <w:rsid w:val="00C84191"/>
    <w:rsid w:val="00C86804"/>
    <w:rsid w:val="00C95B31"/>
    <w:rsid w:val="00CB6023"/>
    <w:rsid w:val="00CC03A0"/>
    <w:rsid w:val="00CC1AAF"/>
    <w:rsid w:val="00CD4F65"/>
    <w:rsid w:val="00CF436C"/>
    <w:rsid w:val="00CF6506"/>
    <w:rsid w:val="00D07986"/>
    <w:rsid w:val="00D11BB8"/>
    <w:rsid w:val="00D33D49"/>
    <w:rsid w:val="00D428CA"/>
    <w:rsid w:val="00D73437"/>
    <w:rsid w:val="00DA3F76"/>
    <w:rsid w:val="00DB6110"/>
    <w:rsid w:val="00DC3F8A"/>
    <w:rsid w:val="00DC7074"/>
    <w:rsid w:val="00DD1ECF"/>
    <w:rsid w:val="00DF10F1"/>
    <w:rsid w:val="00DF278E"/>
    <w:rsid w:val="00E112AD"/>
    <w:rsid w:val="00E17CBE"/>
    <w:rsid w:val="00E26559"/>
    <w:rsid w:val="00E33AD5"/>
    <w:rsid w:val="00E4422F"/>
    <w:rsid w:val="00E45B4B"/>
    <w:rsid w:val="00E46975"/>
    <w:rsid w:val="00E57C95"/>
    <w:rsid w:val="00E869E7"/>
    <w:rsid w:val="00E86D0B"/>
    <w:rsid w:val="00E903F0"/>
    <w:rsid w:val="00E910B1"/>
    <w:rsid w:val="00EB05E4"/>
    <w:rsid w:val="00EB0603"/>
    <w:rsid w:val="00EB1E7D"/>
    <w:rsid w:val="00EB4340"/>
    <w:rsid w:val="00EB4644"/>
    <w:rsid w:val="00EC1416"/>
    <w:rsid w:val="00EC1D8A"/>
    <w:rsid w:val="00EC62E3"/>
    <w:rsid w:val="00ED3DC6"/>
    <w:rsid w:val="00ED6B1A"/>
    <w:rsid w:val="00EE26FC"/>
    <w:rsid w:val="00F1188B"/>
    <w:rsid w:val="00F13650"/>
    <w:rsid w:val="00F4277E"/>
    <w:rsid w:val="00F42A56"/>
    <w:rsid w:val="00F4372C"/>
    <w:rsid w:val="00F50BF6"/>
    <w:rsid w:val="00F667F6"/>
    <w:rsid w:val="00F74FF6"/>
    <w:rsid w:val="00F855E8"/>
    <w:rsid w:val="00F92116"/>
    <w:rsid w:val="00FA04EB"/>
    <w:rsid w:val="00FA243E"/>
    <w:rsid w:val="00FA2EBD"/>
    <w:rsid w:val="00FA5F6C"/>
    <w:rsid w:val="00FB6432"/>
    <w:rsid w:val="00FB6F86"/>
    <w:rsid w:val="00FD402D"/>
    <w:rsid w:val="00FD7C09"/>
    <w:rsid w:val="00FF08B6"/>
    <w:rsid w:val="00FF1698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FAC14"/>
  <w15:docId w15:val="{1A35C91E-A01E-45EF-93E6-F6087FDD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3213"/>
    <w:pPr>
      <w:spacing w:before="120" w:after="120" w:line="312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0E06"/>
    <w:pPr>
      <w:numPr>
        <w:numId w:val="31"/>
      </w:numPr>
      <w:spacing w:before="360" w:after="360"/>
      <w:ind w:left="788" w:hanging="431"/>
      <w:outlineLvl w:val="0"/>
    </w:pPr>
    <w:rPr>
      <w:rFonts w:cs="Times New Roman"/>
      <w:b/>
      <w:bCs/>
      <w:caps/>
      <w:color w:val="17365D" w:themeColor="text2" w:themeShade="BF"/>
      <w:spacing w:val="1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0E06"/>
    <w:pPr>
      <w:keepNext/>
      <w:keepLines/>
      <w:numPr>
        <w:ilvl w:val="1"/>
        <w:numId w:val="31"/>
      </w:numPr>
      <w:spacing w:before="240" w:after="240"/>
      <w:ind w:left="935" w:hanging="578"/>
      <w:outlineLvl w:val="1"/>
    </w:pPr>
    <w:rPr>
      <w:rFonts w:eastAsiaTheme="majorEastAsia" w:cstheme="majorBidi"/>
      <w:b/>
      <w:color w:val="365F91" w:themeColor="accent1" w:themeShade="BF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E06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E06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E06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A5F6C"/>
    <w:pPr>
      <w:keepNext/>
      <w:keepLines/>
      <w:numPr>
        <w:ilvl w:val="5"/>
        <w:numId w:val="3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E06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E06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E06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903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03F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E903F0"/>
    <w:rPr>
      <w:color w:val="0000FF"/>
      <w:u w:val="single"/>
    </w:rPr>
  </w:style>
  <w:style w:type="paragraph" w:customStyle="1" w:styleId="Podnadpis1">
    <w:name w:val="Podnadpis1"/>
    <w:basedOn w:val="Normln"/>
    <w:rsid w:val="000C6BED"/>
    <w:pPr>
      <w:spacing w:line="320" w:lineRule="atLeast"/>
      <w:jc w:val="center"/>
    </w:pPr>
    <w:rPr>
      <w:rFonts w:ascii="Times New Roman" w:hAnsi="Times New Roman" w:cs="Times New Roman"/>
    </w:rPr>
  </w:style>
  <w:style w:type="paragraph" w:customStyle="1" w:styleId="Popis">
    <w:name w:val="Popis"/>
    <w:basedOn w:val="Normln"/>
    <w:rsid w:val="000C6BED"/>
    <w:pPr>
      <w:spacing w:after="360" w:line="320" w:lineRule="atLeast"/>
      <w:jc w:val="both"/>
    </w:pPr>
    <w:rPr>
      <w:rFonts w:ascii="Times New Roman" w:hAnsi="Times New Roman" w:cs="Times New Roman"/>
    </w:rPr>
  </w:style>
  <w:style w:type="paragraph" w:customStyle="1" w:styleId="Poloka">
    <w:name w:val="Položka"/>
    <w:basedOn w:val="Normln"/>
    <w:rsid w:val="000C6BED"/>
    <w:pPr>
      <w:spacing w:before="240" w:after="240" w:line="320" w:lineRule="atLeast"/>
      <w:ind w:left="2835" w:hanging="2835"/>
      <w:jc w:val="both"/>
    </w:pPr>
    <w:rPr>
      <w:rFonts w:ascii="Times New Roman" w:hAnsi="Times New Roman" w:cs="Times New Roman"/>
    </w:rPr>
  </w:style>
  <w:style w:type="paragraph" w:customStyle="1" w:styleId="Poloka-Del">
    <w:name w:val="Položka - Delší"/>
    <w:basedOn w:val="Poloka"/>
    <w:rsid w:val="000C6BED"/>
    <w:pPr>
      <w:ind w:left="3402" w:hanging="3402"/>
    </w:pPr>
  </w:style>
  <w:style w:type="paragraph" w:customStyle="1" w:styleId="Poloka-Nejdel">
    <w:name w:val="Položka - Nejdelší"/>
    <w:basedOn w:val="Poloka"/>
    <w:rsid w:val="000C6BED"/>
    <w:pPr>
      <w:ind w:left="3969" w:hanging="3969"/>
    </w:pPr>
  </w:style>
  <w:style w:type="paragraph" w:customStyle="1" w:styleId="Seznampodpis">
    <w:name w:val="Seznam podpisů"/>
    <w:basedOn w:val="Normln"/>
    <w:rsid w:val="000C6BED"/>
    <w:pPr>
      <w:tabs>
        <w:tab w:val="left" w:pos="1134"/>
        <w:tab w:val="left" w:pos="5103"/>
        <w:tab w:val="left" w:pos="5670"/>
      </w:tabs>
      <w:spacing w:before="60" w:after="60" w:line="320" w:lineRule="atLeast"/>
    </w:pPr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"/>
    <w:rsid w:val="000C6BE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A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1DA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50E06"/>
    <w:rPr>
      <w:rFonts w:ascii="Arial" w:eastAsiaTheme="majorEastAsia" w:hAnsi="Arial" w:cstheme="majorBidi"/>
      <w:b/>
      <w:color w:val="365F91" w:themeColor="accent1" w:themeShade="BF"/>
      <w:sz w:val="24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A5F6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50E06"/>
    <w:rPr>
      <w:rFonts w:ascii="Arial" w:eastAsiaTheme="minorHAnsi" w:hAnsi="Arial"/>
      <w:b/>
      <w:bCs/>
      <w:caps/>
      <w:color w:val="17365D" w:themeColor="text2" w:themeShade="BF"/>
      <w:spacing w:val="120"/>
      <w:sz w:val="28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A5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5F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A5F6C"/>
    <w:pPr>
      <w:widowControl w:val="0"/>
      <w:autoSpaceDE w:val="0"/>
      <w:autoSpaceDN w:val="0"/>
      <w:spacing w:after="0" w:line="240" w:lineRule="auto"/>
      <w:ind w:left="28"/>
    </w:pPr>
    <w:rPr>
      <w:rFonts w:eastAsia="Arial" w:cs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FA5F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5F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A5F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FA5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A5F6C"/>
    <w:rPr>
      <w:rFonts w:ascii="Courier New" w:hAnsi="Courier New" w:cs="Courier New"/>
    </w:rPr>
  </w:style>
  <w:style w:type="character" w:customStyle="1" w:styleId="y2iqfc">
    <w:name w:val="y2iqfc"/>
    <w:basedOn w:val="Standardnpsmoodstavce"/>
    <w:rsid w:val="00FA5F6C"/>
  </w:style>
  <w:style w:type="character" w:customStyle="1" w:styleId="markedcontent">
    <w:name w:val="markedcontent"/>
    <w:basedOn w:val="Standardnpsmoodstavce"/>
    <w:rsid w:val="00FA5F6C"/>
  </w:style>
  <w:style w:type="character" w:styleId="Zdraznn">
    <w:name w:val="Emphasis"/>
    <w:basedOn w:val="Standardnpsmoodstavce"/>
    <w:uiPriority w:val="20"/>
    <w:qFormat/>
    <w:rsid w:val="00FA5F6C"/>
    <w:rPr>
      <w:i/>
      <w:iCs/>
    </w:rPr>
  </w:style>
  <w:style w:type="character" w:customStyle="1" w:styleId="ZhlavChar">
    <w:name w:val="Záhlaví Char"/>
    <w:basedOn w:val="Standardnpsmoodstavce"/>
    <w:link w:val="Zhlav"/>
    <w:rsid w:val="005558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558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5558D0"/>
    <w:rPr>
      <w:rFonts w:ascii="Courier New" w:eastAsiaTheme="minorHAnsi" w:hAnsi="Courier New" w:cs="Courier New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227AF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84446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pacing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4446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4446C"/>
    <w:pPr>
      <w:spacing w:after="100"/>
      <w:ind w:left="220"/>
    </w:pPr>
  </w:style>
  <w:style w:type="paragraph" w:styleId="Seznamobrzk">
    <w:name w:val="table of figures"/>
    <w:basedOn w:val="Normln"/>
    <w:next w:val="Normln"/>
    <w:uiPriority w:val="99"/>
    <w:unhideWhenUsed/>
    <w:rsid w:val="003B7032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C15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6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63B"/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8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84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84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E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E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E06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E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E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E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C4FE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F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zmezer">
    <w:name w:val="No Spacing"/>
    <w:uiPriority w:val="1"/>
    <w:qFormat/>
    <w:rsid w:val="001C4FE0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vcr.cz/clanek/pristupnost-internetovych-stranek-a-mobilnich-aplikaci.aspx?q=Y2hudW09Nw%3d%3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lada.cz/cz/ppov/vvozp/uvod-vvozp-17734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movaa\AppData\Local\Temp\Rar$DIa14840.46047\MV_sablona_zaverecna_zpra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9345-9136-482B-90DB-9E150F0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MV_sablona_zaverecna_zprava</Template>
  <TotalTime>81</TotalTime>
  <Pages>19</Pages>
  <Words>4087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 je manuál</vt:lpstr>
    </vt:vector>
  </TitlesOfParts>
  <Company>MV ČR</Company>
  <LinksUpToDate>false</LinksUpToDate>
  <CharactersWithSpaces>28147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je manuál</dc:title>
  <dc:subject/>
  <dc:creator>KLÍMOVÁ Alena, Mgr.</dc:creator>
  <cp:keywords/>
  <dc:description/>
  <cp:lastModifiedBy>User</cp:lastModifiedBy>
  <cp:revision>11</cp:revision>
  <cp:lastPrinted>2021-12-22T12:05:00Z</cp:lastPrinted>
  <dcterms:created xsi:type="dcterms:W3CDTF">2021-12-22T10:01:00Z</dcterms:created>
  <dcterms:modified xsi:type="dcterms:W3CDTF">2021-12-22T12:07:00Z</dcterms:modified>
</cp:coreProperties>
</file>